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河北省审计厅廉政风险点梳理情况汇总</w:t>
      </w:r>
    </w:p>
    <w:bookmarkEnd w:id="0"/>
    <w:p>
      <w:pPr>
        <w:widowControl/>
        <w:spacing w:line="375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140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189"/>
        <w:gridCol w:w="1194"/>
        <w:gridCol w:w="3870"/>
        <w:gridCol w:w="5570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tblHeader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权力名称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权力类别</w:t>
            </w:r>
          </w:p>
        </w:tc>
        <w:tc>
          <w:tcPr>
            <w:tcW w:w="3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风险点</w:t>
            </w:r>
          </w:p>
        </w:tc>
        <w:tc>
          <w:tcPr>
            <w:tcW w:w="5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防</w:t>
            </w:r>
            <w:r>
              <w:rPr>
                <w:rStyle w:val="3"/>
                <w:rFonts w:hint="eastAsia" w:ascii="仿宋_GB2312" w:hAnsi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控</w:t>
            </w: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</w:rPr>
            </w:pPr>
            <w:r>
              <w:rPr>
                <w:rStyle w:val="3"/>
                <w:rFonts w:hint="eastAsia" w:ascii="仿宋_GB2312" w:hAnsi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责任处室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tblHeader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审计实施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监督检查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（1）违反审计程序；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（2）隐瞒、私自消化重大问题；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（3）违反有关廉政纪律；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（4）不认真履责，应发现问题未发现。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（1）认真落实审计人员岗位职责；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（2）严格执行审计署“八不准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、四严禁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”审计纪律；落实《河北省审计厅廉政纪律执行监督检查办法》。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（3）加强业务培训，提高审计人员综合业务素质。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人事处、机关党委、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业务处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0" w:hRule="atLeast"/>
          <w:tblHeader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业务部门复核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内部管理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（5）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应复核未复核，复核意见不当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（6）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应提未提复核建议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）按照《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审计法》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处理；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）按照《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国家审计准则》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处理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法规处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业务处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tblHeader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审计审理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内部管理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（7）应提不提审理建议；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（8）审理意见不当。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）集体会审，严格审理交接程序。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）出具审理意见书，实行审计人员、处长、总审计师三级复核；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）严格落实《河北省审计厅审计项目审理办法（试行）》。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法规处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业务处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tblHeader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审计业务会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内部管理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（9）未经业务会审核，擅自下达审计报告；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（10）未经领导审批，擅自下达审计报告。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）严格落实《审计业务会议制度》。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法规处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业务处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tblHeader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建议移送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（11）对符合移送的案件线索未移送；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（12）对不符合条件的案件线索，盲目移送。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）按照《审计署、公安部关于建立案件移送制度和加强工作协作配合的通知》要求严格执行；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）严格执行《审计法实施条例》有关要求。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法规处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业务处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tblHeader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集中采购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内部管理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）违反政府采购相关制度、程序进行采购。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 （1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）按照省有关政府采购管理办法严格执行；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）强化关键环节监督，全程公开透明。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办公室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tblHeader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权力名称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权力类别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风险点</w:t>
            </w:r>
          </w:p>
        </w:tc>
        <w:tc>
          <w:tcPr>
            <w:tcW w:w="5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防</w:t>
            </w:r>
            <w:r>
              <w:rPr>
                <w:rStyle w:val="3"/>
                <w:rFonts w:hint="eastAsia" w:ascii="仿宋_GB2312" w:hAnsi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控</w:t>
            </w: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/>
              <w:jc w:val="center"/>
            </w:pPr>
            <w:r>
              <w:rPr>
                <w:rStyle w:val="3"/>
                <w:rFonts w:hint="eastAsia" w:ascii="仿宋_GB2312" w:hAnsi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责任处室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7" w:hRule="atLeast"/>
          <w:tblHeader/>
        </w:trPr>
        <w:tc>
          <w:tcPr>
            <w:tcW w:w="79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基建管理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内部管理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）违反招投标管理程序；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）未履行财务支付、监理、验收、审计程序；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）在招投标中存在不廉洁行为。</w:t>
            </w:r>
          </w:p>
        </w:tc>
        <w:tc>
          <w:tcPr>
            <w:tcW w:w="55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）按照省有关招投标管理办法严格执行；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）严格落实财务管理及工程管理、监理等相关制度；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）严格执行公开、透明原则。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办公室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tblHeader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机关工作人员招录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内部管理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 （1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）资格审查降低标准，简化程序。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）严格履行省人事部门的招录程序；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）坚持阳光操作，接受监督。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人事处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tblHeader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干部任免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内部管理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）干部任免违反组织程序；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19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）违反民主推荐程序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19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）严格按照国家《公务员法》管理；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）严格执行《公务员职务任免与职务升降规定》、《党政领导干部选拔任用工作条例》；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）严格执行干部任免公开公示程序。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人事处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tblHeader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拒绝阻碍审计处罚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行政处罚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）未按照审计程序，对被审计单位实施处罚；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）滥用职权，对被审计单位实施处罚。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）严格执行《审计法》有关要求；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）严格执行《审计法实施条例》有关要求。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法规处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业务处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7" w:hRule="atLeast"/>
          <w:tblHeader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纠正制止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行政强制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)在行政执法活动中，擅自使用纠正制止权，干扰影响被审计单位正常工作和经营。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）严格按照《审计法实施条例》有关要求执行。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法规处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业务处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tblHeader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封存建议冻结资产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行政强制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(2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)违反封存程序；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）未及时解除封存。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）严格落实《河北省审计厅关于审计机关封存资料资产规定的实施细则》。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法规处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业务处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 w:hRule="atLeast"/>
          <w:tblHeader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审计执行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）未对被审计单位整改情况检查；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）对未整改单位没有采取必要措施。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（2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）严格按照《审计法实施条例》有关要求执行。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整改监督处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tblHeader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权力名称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权力类别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风险点</w:t>
            </w:r>
          </w:p>
        </w:tc>
        <w:tc>
          <w:tcPr>
            <w:tcW w:w="5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防</w:t>
            </w:r>
            <w:r>
              <w:rPr>
                <w:rStyle w:val="3"/>
                <w:rFonts w:hint="eastAsia" w:ascii="仿宋_GB2312" w:hAnsi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控</w:t>
            </w:r>
            <w:r>
              <w:rPr>
                <w:rStyle w:val="3"/>
                <w:rFonts w:ascii="仿宋_GB2312" w:hAnsi="仿宋_GB2312" w:eastAsia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仿宋_GB2312" w:hAnsi="仿宋_GB2312" w:cs="仿宋_GB2312"/>
                <w:b w:val="0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责任处室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tblHeader/>
        </w:trPr>
        <w:tc>
          <w:tcPr>
            <w:tcW w:w="79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内部管理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）违反财务审批程序；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28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）不严格按照预算支出；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(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29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) 虚列支出套取资金，私设小金库，财务管理不规范。</w:t>
            </w:r>
          </w:p>
        </w:tc>
        <w:tc>
          <w:tcPr>
            <w:tcW w:w="55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）严格执行会计法及相关财务规章制度；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28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）严格按照《河北省审计厅机关财务管理规定》严格执行。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办公室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tblHeader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审计计划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监督检查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（3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）审计计划缺乏连续性、科学性；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（3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）审计计划存在随意性，随意调整违反程序；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29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）严格落实《河北省审计厅审计项目计划管理办法》；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）对审计计划落实定期检查。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法规处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业务处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tblHeader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机关工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作人员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考核奖惩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内部管理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（3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）违反考核、奖惩程序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（3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）按照《河北省审计厅机关公务员考核办法》严格管理；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（3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）严格按照省有关规定执行奖惩。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人事处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-204" w:rightChars="-64"/>
              <w:jc w:val="both"/>
            </w:pP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6838" w:h="11906" w:orient="landscape"/>
      <w:pgMar w:top="1160" w:right="1440" w:bottom="136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7367"/>
    <w:rsid w:val="016B3DE1"/>
    <w:rsid w:val="018D1D97"/>
    <w:rsid w:val="01CF5850"/>
    <w:rsid w:val="027E29A5"/>
    <w:rsid w:val="02F74BED"/>
    <w:rsid w:val="03456EEA"/>
    <w:rsid w:val="06AD0181"/>
    <w:rsid w:val="06CA1CAF"/>
    <w:rsid w:val="07A73C1C"/>
    <w:rsid w:val="09A45C60"/>
    <w:rsid w:val="09F743E5"/>
    <w:rsid w:val="0B393AF8"/>
    <w:rsid w:val="0BA81BAD"/>
    <w:rsid w:val="0D945ED5"/>
    <w:rsid w:val="0E152FAC"/>
    <w:rsid w:val="0E6C0137"/>
    <w:rsid w:val="0F0E7940"/>
    <w:rsid w:val="0F442399"/>
    <w:rsid w:val="0F9C62AB"/>
    <w:rsid w:val="0FEC1281"/>
    <w:rsid w:val="109045B9"/>
    <w:rsid w:val="10DE59BD"/>
    <w:rsid w:val="10FE4BED"/>
    <w:rsid w:val="11067A7B"/>
    <w:rsid w:val="14200F92"/>
    <w:rsid w:val="159E7205"/>
    <w:rsid w:val="15D403B9"/>
    <w:rsid w:val="181D631F"/>
    <w:rsid w:val="19A20FB7"/>
    <w:rsid w:val="1B3F6E41"/>
    <w:rsid w:val="1B9907D4"/>
    <w:rsid w:val="1C243C3B"/>
    <w:rsid w:val="1CFD009B"/>
    <w:rsid w:val="1DD65800"/>
    <w:rsid w:val="1E0A05D9"/>
    <w:rsid w:val="1EFB7B61"/>
    <w:rsid w:val="207167C9"/>
    <w:rsid w:val="227D55A4"/>
    <w:rsid w:val="236A6126"/>
    <w:rsid w:val="24A37128"/>
    <w:rsid w:val="24CE0499"/>
    <w:rsid w:val="24D87982"/>
    <w:rsid w:val="267D5AB4"/>
    <w:rsid w:val="2751350E"/>
    <w:rsid w:val="2DC9792A"/>
    <w:rsid w:val="2F866987"/>
    <w:rsid w:val="30C93B1B"/>
    <w:rsid w:val="3157337F"/>
    <w:rsid w:val="324E3917"/>
    <w:rsid w:val="3332520E"/>
    <w:rsid w:val="339C6E3C"/>
    <w:rsid w:val="347C06A8"/>
    <w:rsid w:val="351E5CB3"/>
    <w:rsid w:val="35E61492"/>
    <w:rsid w:val="35EC7605"/>
    <w:rsid w:val="36DC2791"/>
    <w:rsid w:val="376016E5"/>
    <w:rsid w:val="37C6490D"/>
    <w:rsid w:val="380A1B7E"/>
    <w:rsid w:val="384564E0"/>
    <w:rsid w:val="389030DC"/>
    <w:rsid w:val="3AB030D6"/>
    <w:rsid w:val="3CD41C69"/>
    <w:rsid w:val="3CEB717E"/>
    <w:rsid w:val="3DF876BB"/>
    <w:rsid w:val="3E332998"/>
    <w:rsid w:val="409E758E"/>
    <w:rsid w:val="41251DF1"/>
    <w:rsid w:val="417340EF"/>
    <w:rsid w:val="42332EA8"/>
    <w:rsid w:val="427B109E"/>
    <w:rsid w:val="45876B22"/>
    <w:rsid w:val="4603066A"/>
    <w:rsid w:val="46A017ED"/>
    <w:rsid w:val="4729044D"/>
    <w:rsid w:val="482573EB"/>
    <w:rsid w:val="49190F7D"/>
    <w:rsid w:val="49900D4E"/>
    <w:rsid w:val="4A0343FD"/>
    <w:rsid w:val="4A2D77C0"/>
    <w:rsid w:val="4A8F075E"/>
    <w:rsid w:val="4D1C7E93"/>
    <w:rsid w:val="4DDD6C4C"/>
    <w:rsid w:val="4E873862"/>
    <w:rsid w:val="4EE6167D"/>
    <w:rsid w:val="530F07D3"/>
    <w:rsid w:val="531B7E68"/>
    <w:rsid w:val="557A0C4C"/>
    <w:rsid w:val="581F0874"/>
    <w:rsid w:val="59D836F4"/>
    <w:rsid w:val="5A1E3E69"/>
    <w:rsid w:val="5BF13D64"/>
    <w:rsid w:val="5FC943B4"/>
    <w:rsid w:val="61BD5AE9"/>
    <w:rsid w:val="635B4290"/>
    <w:rsid w:val="63B36E9D"/>
    <w:rsid w:val="65E329B5"/>
    <w:rsid w:val="679D5209"/>
    <w:rsid w:val="67C718D1"/>
    <w:rsid w:val="6892481D"/>
    <w:rsid w:val="68DB509D"/>
    <w:rsid w:val="6A0311FB"/>
    <w:rsid w:val="6A135C12"/>
    <w:rsid w:val="6C2446F9"/>
    <w:rsid w:val="6CA86ED0"/>
    <w:rsid w:val="6D0475EA"/>
    <w:rsid w:val="6D793EB8"/>
    <w:rsid w:val="6E68362E"/>
    <w:rsid w:val="707D0B1B"/>
    <w:rsid w:val="722630D5"/>
    <w:rsid w:val="72E36D0B"/>
    <w:rsid w:val="735018BD"/>
    <w:rsid w:val="741B228B"/>
    <w:rsid w:val="760B1736"/>
    <w:rsid w:val="76704CDE"/>
    <w:rsid w:val="76D13A7D"/>
    <w:rsid w:val="79641838"/>
    <w:rsid w:val="79AE5130"/>
    <w:rsid w:val="7C245B39"/>
    <w:rsid w:val="7CF84C17"/>
    <w:rsid w:val="7D6961D0"/>
    <w:rsid w:val="7E05024D"/>
    <w:rsid w:val="7E4435B5"/>
    <w:rsid w:val="7E9349B9"/>
    <w:rsid w:val="7FB57F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wucy</dc:creator>
  <cp:lastModifiedBy>sjt6</cp:lastModifiedBy>
  <cp:lastPrinted>2019-06-11T08:02:00Z</cp:lastPrinted>
  <dcterms:modified xsi:type="dcterms:W3CDTF">2021-06-23T07:29:42Z</dcterms:modified>
  <dc:title>河北省审计厅权力运行廉政风险等级目录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