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p>
    <w:p>
      <w:r>
        <w:rPr>
          <w:rFonts w:ascii="方正楷体_GBK" w:hAnsi="方正楷体_GBK" w:eastAsia="方正楷体_GBK" w:cs="方正楷体_GBK"/>
          <w:b/>
          <w:color w:val="000000"/>
          <w:sz w:val="28"/>
        </w:rPr>
        <w:t>部门预算公开表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6"/>
        <w:tabs>
          <w:tab w:val="right" w:leader="dot" w:pos="14562"/>
        </w:tabs>
      </w:pPr>
      <w:r>
        <w:fldChar w:fldCharType="begin"/>
      </w:r>
      <w:r>
        <w:instrText xml:space="preserve"> HYPERLINK \l "_Toc_2_2_0000000007" </w:instrText>
      </w:r>
      <w:r>
        <w:fldChar w:fldCharType="separate"/>
      </w:r>
      <w:r>
        <w:t>部门预算政府</w:t>
      </w:r>
      <w:r>
        <w:rPr>
          <w:rFonts w:hint="eastAsia"/>
          <w:lang w:val="en-US" w:eastAsia="zh-CN"/>
        </w:rPr>
        <w:t>性</w:t>
      </w:r>
      <w:r>
        <w:t>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3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3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42</w:t>
      </w:r>
      <w:r>
        <w:fldChar w:fldCharType="end"/>
      </w:r>
      <w:r>
        <w:fldChar w:fldCharType="end"/>
      </w:r>
    </w:p>
    <w:p>
      <w:pPr>
        <w:pStyle w:val="3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bookmarkStart w:id="0" w:name="_Toc_2_2_0000000001"/>
    </w:p>
    <w:p>
      <w:pPr>
        <w:jc w:val="center"/>
        <w:outlineLvl w:val="1"/>
        <w:rPr>
          <w:rFonts w:ascii="方正小标宋_GBK" w:hAnsi="方正小标宋_GBK" w:eastAsia="方正小标宋_GBK" w:cs="方正小标宋_GBK"/>
          <w:color w:val="000000"/>
          <w:sz w:val="36"/>
        </w:rPr>
        <w:sectPr>
          <w:footerReference r:id="rId3" w:type="default"/>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319河北省审计厅</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12518.62</w:t>
            </w:r>
          </w:p>
        </w:tc>
        <w:tc>
          <w:tcPr>
            <w:tcW w:w="4535" w:type="dxa"/>
            <w:vAlign w:val="center"/>
          </w:tcPr>
          <w:p>
            <w:pPr>
              <w:pStyle w:val="12"/>
            </w:pPr>
            <w:r>
              <w:t>一、一般公共服务支出</w:t>
            </w:r>
          </w:p>
        </w:tc>
        <w:tc>
          <w:tcPr>
            <w:tcW w:w="2126" w:type="dxa"/>
            <w:vAlign w:val="center"/>
          </w:tcPr>
          <w:p>
            <w:pPr>
              <w:pStyle w:val="11"/>
            </w:pPr>
            <w:r>
              <w:t>10604.51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1522.23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r>
              <w:t>500.00</w:t>
            </w: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485.93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405.95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13018.62</w:t>
            </w:r>
          </w:p>
        </w:tc>
        <w:tc>
          <w:tcPr>
            <w:tcW w:w="4535" w:type="dxa"/>
            <w:vAlign w:val="center"/>
          </w:tcPr>
          <w:p>
            <w:pPr>
              <w:pStyle w:val="14"/>
            </w:pPr>
            <w:r>
              <w:t>本年支出合计</w:t>
            </w:r>
          </w:p>
        </w:tc>
        <w:tc>
          <w:tcPr>
            <w:tcW w:w="2126" w:type="dxa"/>
            <w:vAlign w:val="center"/>
          </w:tcPr>
          <w:p>
            <w:pPr>
              <w:pStyle w:val="15"/>
            </w:pPr>
            <w:r>
              <w:t>13018.62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13018.62</w:t>
            </w:r>
          </w:p>
        </w:tc>
        <w:tc>
          <w:tcPr>
            <w:tcW w:w="4535" w:type="dxa"/>
            <w:vAlign w:val="center"/>
          </w:tcPr>
          <w:p>
            <w:pPr>
              <w:pStyle w:val="14"/>
            </w:pPr>
            <w:r>
              <w:t>支出总计</w:t>
            </w:r>
          </w:p>
        </w:tc>
        <w:tc>
          <w:tcPr>
            <w:tcW w:w="2126" w:type="dxa"/>
            <w:vAlign w:val="center"/>
          </w:tcPr>
          <w:p>
            <w:pPr>
              <w:pStyle w:val="15"/>
            </w:pPr>
            <w:r>
              <w:t>13018.62</w:t>
            </w:r>
          </w:p>
        </w:tc>
      </w:tr>
    </w:tbl>
    <w:p>
      <w:pPr>
        <w:jc w:val="center"/>
        <w:outlineLvl w:val="1"/>
        <w:rPr>
          <w:rFonts w:ascii="方正小标宋_GBK" w:hAnsi="方正小标宋_GBK" w:eastAsia="方正小标宋_GBK" w:cs="方正小标宋_GBK"/>
          <w:color w:val="000000"/>
          <w:sz w:val="36"/>
        </w:rPr>
      </w:pPr>
      <w:bookmarkStart w:id="1" w:name="_Toc_2_2_0000000002"/>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319河北省审计厅</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13018.62</w:t>
            </w:r>
          </w:p>
        </w:tc>
        <w:tc>
          <w:tcPr>
            <w:tcW w:w="1134" w:type="dxa"/>
            <w:vAlign w:val="center"/>
          </w:tcPr>
          <w:p>
            <w:pPr>
              <w:pStyle w:val="15"/>
            </w:pPr>
            <w:r>
              <w:t>13018.62</w:t>
            </w:r>
          </w:p>
        </w:tc>
        <w:tc>
          <w:tcPr>
            <w:tcW w:w="1134" w:type="dxa"/>
            <w:vAlign w:val="center"/>
          </w:tcPr>
          <w:p>
            <w:pPr>
              <w:pStyle w:val="15"/>
            </w:pPr>
            <w:r>
              <w:t>12518.62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500.00</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10604.51</w:t>
            </w:r>
          </w:p>
        </w:tc>
        <w:tc>
          <w:tcPr>
            <w:tcW w:w="1134" w:type="dxa"/>
            <w:vAlign w:val="center"/>
          </w:tcPr>
          <w:p>
            <w:pPr>
              <w:pStyle w:val="11"/>
            </w:pPr>
            <w:r>
              <w:t>10604.51</w:t>
            </w:r>
          </w:p>
        </w:tc>
        <w:tc>
          <w:tcPr>
            <w:tcW w:w="1134" w:type="dxa"/>
            <w:vAlign w:val="center"/>
          </w:tcPr>
          <w:p>
            <w:pPr>
              <w:pStyle w:val="11"/>
            </w:pPr>
            <w:r>
              <w:t>10104.51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500.00</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10604.51</w:t>
            </w:r>
          </w:p>
        </w:tc>
        <w:tc>
          <w:tcPr>
            <w:tcW w:w="1134" w:type="dxa"/>
            <w:vAlign w:val="center"/>
          </w:tcPr>
          <w:p>
            <w:pPr>
              <w:pStyle w:val="11"/>
            </w:pPr>
            <w:r>
              <w:t>10604.51</w:t>
            </w:r>
          </w:p>
        </w:tc>
        <w:tc>
          <w:tcPr>
            <w:tcW w:w="1134" w:type="dxa"/>
            <w:vAlign w:val="center"/>
          </w:tcPr>
          <w:p>
            <w:pPr>
              <w:pStyle w:val="11"/>
            </w:pPr>
            <w:r>
              <w:t>10104.51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500.00</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5957.67</w:t>
            </w:r>
          </w:p>
        </w:tc>
        <w:tc>
          <w:tcPr>
            <w:tcW w:w="1134" w:type="dxa"/>
            <w:vAlign w:val="center"/>
          </w:tcPr>
          <w:p>
            <w:pPr>
              <w:pStyle w:val="11"/>
            </w:pPr>
            <w:r>
              <w:t>5957.67</w:t>
            </w:r>
          </w:p>
        </w:tc>
        <w:tc>
          <w:tcPr>
            <w:tcW w:w="1134" w:type="dxa"/>
            <w:vAlign w:val="center"/>
          </w:tcPr>
          <w:p>
            <w:pPr>
              <w:pStyle w:val="11"/>
            </w:pPr>
            <w:r>
              <w:t>5957.67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5</w:t>
            </w:r>
          </w:p>
        </w:tc>
        <w:tc>
          <w:tcPr>
            <w:tcW w:w="992" w:type="dxa"/>
            <w:vAlign w:val="center"/>
          </w:tcPr>
          <w:p>
            <w:pPr>
              <w:pStyle w:val="12"/>
            </w:pPr>
            <w:r>
              <w:t>2010802</w:t>
            </w:r>
          </w:p>
        </w:tc>
        <w:tc>
          <w:tcPr>
            <w:tcW w:w="1559" w:type="dxa"/>
            <w:vAlign w:val="center"/>
          </w:tcPr>
          <w:p>
            <w:pPr>
              <w:pStyle w:val="12"/>
            </w:pPr>
            <w:r>
              <w:t>一般行政管理事务</w:t>
            </w:r>
          </w:p>
        </w:tc>
        <w:tc>
          <w:tcPr>
            <w:tcW w:w="1134" w:type="dxa"/>
            <w:vAlign w:val="center"/>
          </w:tcPr>
          <w:p>
            <w:pPr>
              <w:pStyle w:val="11"/>
            </w:pPr>
            <w:r>
              <w:t>126.93</w:t>
            </w:r>
          </w:p>
        </w:tc>
        <w:tc>
          <w:tcPr>
            <w:tcW w:w="1134" w:type="dxa"/>
            <w:vAlign w:val="center"/>
          </w:tcPr>
          <w:p>
            <w:pPr>
              <w:pStyle w:val="11"/>
            </w:pPr>
            <w:r>
              <w:t>126.93</w:t>
            </w:r>
          </w:p>
        </w:tc>
        <w:tc>
          <w:tcPr>
            <w:tcW w:w="1134" w:type="dxa"/>
            <w:vAlign w:val="center"/>
          </w:tcPr>
          <w:p>
            <w:pPr>
              <w:pStyle w:val="11"/>
            </w:pPr>
            <w:r>
              <w:t>126.93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6</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3434.40</w:t>
            </w:r>
          </w:p>
        </w:tc>
        <w:tc>
          <w:tcPr>
            <w:tcW w:w="1134" w:type="dxa"/>
            <w:vAlign w:val="center"/>
          </w:tcPr>
          <w:p>
            <w:pPr>
              <w:pStyle w:val="11"/>
            </w:pPr>
            <w:r>
              <w:t>3434.40</w:t>
            </w:r>
          </w:p>
        </w:tc>
        <w:tc>
          <w:tcPr>
            <w:tcW w:w="1134" w:type="dxa"/>
            <w:vAlign w:val="center"/>
          </w:tcPr>
          <w:p>
            <w:pPr>
              <w:pStyle w:val="11"/>
            </w:pPr>
            <w:r>
              <w:t>2934.40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500.00</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2010806</w:t>
            </w:r>
          </w:p>
        </w:tc>
        <w:tc>
          <w:tcPr>
            <w:tcW w:w="1559" w:type="dxa"/>
            <w:vAlign w:val="center"/>
          </w:tcPr>
          <w:p>
            <w:pPr>
              <w:pStyle w:val="12"/>
            </w:pPr>
            <w:r>
              <w:t>信息化建设</w:t>
            </w:r>
          </w:p>
        </w:tc>
        <w:tc>
          <w:tcPr>
            <w:tcW w:w="1134" w:type="dxa"/>
            <w:vAlign w:val="center"/>
          </w:tcPr>
          <w:p>
            <w:pPr>
              <w:pStyle w:val="11"/>
            </w:pPr>
            <w:r>
              <w:t>572.00</w:t>
            </w:r>
          </w:p>
        </w:tc>
        <w:tc>
          <w:tcPr>
            <w:tcW w:w="1134" w:type="dxa"/>
            <w:vAlign w:val="center"/>
          </w:tcPr>
          <w:p>
            <w:pPr>
              <w:pStyle w:val="11"/>
            </w:pPr>
            <w:r>
              <w:t>572.00</w:t>
            </w:r>
          </w:p>
        </w:tc>
        <w:tc>
          <w:tcPr>
            <w:tcW w:w="1134" w:type="dxa"/>
            <w:vAlign w:val="center"/>
          </w:tcPr>
          <w:p>
            <w:pPr>
              <w:pStyle w:val="11"/>
            </w:pPr>
            <w:r>
              <w:t>572.00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2010850</w:t>
            </w:r>
          </w:p>
        </w:tc>
        <w:tc>
          <w:tcPr>
            <w:tcW w:w="1559" w:type="dxa"/>
            <w:vAlign w:val="center"/>
          </w:tcPr>
          <w:p>
            <w:pPr>
              <w:pStyle w:val="12"/>
            </w:pPr>
            <w:r>
              <w:t>事业运行</w:t>
            </w:r>
          </w:p>
        </w:tc>
        <w:tc>
          <w:tcPr>
            <w:tcW w:w="1134" w:type="dxa"/>
            <w:vAlign w:val="center"/>
          </w:tcPr>
          <w:p>
            <w:pPr>
              <w:pStyle w:val="11"/>
            </w:pPr>
            <w:r>
              <w:t>433.51</w:t>
            </w:r>
          </w:p>
        </w:tc>
        <w:tc>
          <w:tcPr>
            <w:tcW w:w="1134" w:type="dxa"/>
            <w:vAlign w:val="center"/>
          </w:tcPr>
          <w:p>
            <w:pPr>
              <w:pStyle w:val="11"/>
            </w:pPr>
            <w:r>
              <w:t>433.51</w:t>
            </w:r>
          </w:p>
        </w:tc>
        <w:tc>
          <w:tcPr>
            <w:tcW w:w="1134" w:type="dxa"/>
            <w:vAlign w:val="center"/>
          </w:tcPr>
          <w:p>
            <w:pPr>
              <w:pStyle w:val="11"/>
            </w:pPr>
            <w:r>
              <w:t>433.51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2010899</w:t>
            </w:r>
          </w:p>
        </w:tc>
        <w:tc>
          <w:tcPr>
            <w:tcW w:w="1559" w:type="dxa"/>
            <w:vAlign w:val="center"/>
          </w:tcPr>
          <w:p>
            <w:pPr>
              <w:pStyle w:val="12"/>
            </w:pPr>
            <w:r>
              <w:t>其他审计事务支出</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1522.23</w:t>
            </w:r>
          </w:p>
        </w:tc>
        <w:tc>
          <w:tcPr>
            <w:tcW w:w="1134" w:type="dxa"/>
            <w:vAlign w:val="center"/>
          </w:tcPr>
          <w:p>
            <w:pPr>
              <w:pStyle w:val="11"/>
            </w:pPr>
            <w:r>
              <w:t>1522.23</w:t>
            </w:r>
          </w:p>
        </w:tc>
        <w:tc>
          <w:tcPr>
            <w:tcW w:w="1134" w:type="dxa"/>
            <w:vAlign w:val="center"/>
          </w:tcPr>
          <w:p>
            <w:pPr>
              <w:pStyle w:val="11"/>
            </w:pPr>
            <w:r>
              <w:t>1522.23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1522.23</w:t>
            </w:r>
          </w:p>
        </w:tc>
        <w:tc>
          <w:tcPr>
            <w:tcW w:w="1134" w:type="dxa"/>
            <w:vAlign w:val="center"/>
          </w:tcPr>
          <w:p>
            <w:pPr>
              <w:pStyle w:val="11"/>
            </w:pPr>
            <w:r>
              <w:t>1522.23</w:t>
            </w:r>
          </w:p>
        </w:tc>
        <w:tc>
          <w:tcPr>
            <w:tcW w:w="1134" w:type="dxa"/>
            <w:vAlign w:val="center"/>
          </w:tcPr>
          <w:p>
            <w:pPr>
              <w:pStyle w:val="11"/>
            </w:pPr>
            <w:r>
              <w:t>1522.23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622.60</w:t>
            </w:r>
          </w:p>
        </w:tc>
        <w:tc>
          <w:tcPr>
            <w:tcW w:w="1134" w:type="dxa"/>
            <w:vAlign w:val="center"/>
          </w:tcPr>
          <w:p>
            <w:pPr>
              <w:pStyle w:val="11"/>
            </w:pPr>
            <w:r>
              <w:t>622.60</w:t>
            </w:r>
          </w:p>
        </w:tc>
        <w:tc>
          <w:tcPr>
            <w:tcW w:w="1134" w:type="dxa"/>
            <w:vAlign w:val="center"/>
          </w:tcPr>
          <w:p>
            <w:pPr>
              <w:pStyle w:val="11"/>
            </w:pPr>
            <w:r>
              <w:t>622.60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39.92</w:t>
            </w:r>
          </w:p>
        </w:tc>
        <w:tc>
          <w:tcPr>
            <w:tcW w:w="1134" w:type="dxa"/>
            <w:vAlign w:val="center"/>
          </w:tcPr>
          <w:p>
            <w:pPr>
              <w:pStyle w:val="11"/>
            </w:pPr>
            <w:r>
              <w:t>39.92</w:t>
            </w:r>
          </w:p>
        </w:tc>
        <w:tc>
          <w:tcPr>
            <w:tcW w:w="1134" w:type="dxa"/>
            <w:vAlign w:val="center"/>
          </w:tcPr>
          <w:p>
            <w:pPr>
              <w:pStyle w:val="11"/>
            </w:pPr>
            <w:r>
              <w:t>39.92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572.45</w:t>
            </w:r>
          </w:p>
        </w:tc>
        <w:tc>
          <w:tcPr>
            <w:tcW w:w="1134" w:type="dxa"/>
            <w:vAlign w:val="center"/>
          </w:tcPr>
          <w:p>
            <w:pPr>
              <w:pStyle w:val="11"/>
            </w:pPr>
            <w:r>
              <w:t>572.45</w:t>
            </w:r>
          </w:p>
        </w:tc>
        <w:tc>
          <w:tcPr>
            <w:tcW w:w="1134" w:type="dxa"/>
            <w:vAlign w:val="center"/>
          </w:tcPr>
          <w:p>
            <w:pPr>
              <w:pStyle w:val="11"/>
            </w:pPr>
            <w:r>
              <w:t>572.45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287.26</w:t>
            </w:r>
          </w:p>
        </w:tc>
        <w:tc>
          <w:tcPr>
            <w:tcW w:w="1134" w:type="dxa"/>
            <w:vAlign w:val="center"/>
          </w:tcPr>
          <w:p>
            <w:pPr>
              <w:pStyle w:val="11"/>
            </w:pPr>
            <w:r>
              <w:t>287.26</w:t>
            </w:r>
          </w:p>
        </w:tc>
        <w:tc>
          <w:tcPr>
            <w:tcW w:w="1134" w:type="dxa"/>
            <w:vAlign w:val="center"/>
          </w:tcPr>
          <w:p>
            <w:pPr>
              <w:pStyle w:val="11"/>
            </w:pPr>
            <w:r>
              <w:t>287.26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485.93</w:t>
            </w:r>
          </w:p>
        </w:tc>
        <w:tc>
          <w:tcPr>
            <w:tcW w:w="1134" w:type="dxa"/>
            <w:vAlign w:val="center"/>
          </w:tcPr>
          <w:p>
            <w:pPr>
              <w:pStyle w:val="11"/>
            </w:pPr>
            <w:r>
              <w:t>485.93</w:t>
            </w:r>
          </w:p>
        </w:tc>
        <w:tc>
          <w:tcPr>
            <w:tcW w:w="1134" w:type="dxa"/>
            <w:vAlign w:val="center"/>
          </w:tcPr>
          <w:p>
            <w:pPr>
              <w:pStyle w:val="11"/>
            </w:pPr>
            <w:r>
              <w:t>485.93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485.93</w:t>
            </w:r>
          </w:p>
        </w:tc>
        <w:tc>
          <w:tcPr>
            <w:tcW w:w="1134" w:type="dxa"/>
            <w:vAlign w:val="center"/>
          </w:tcPr>
          <w:p>
            <w:pPr>
              <w:pStyle w:val="11"/>
            </w:pPr>
            <w:r>
              <w:t>485.93</w:t>
            </w:r>
          </w:p>
        </w:tc>
        <w:tc>
          <w:tcPr>
            <w:tcW w:w="1134" w:type="dxa"/>
            <w:vAlign w:val="center"/>
          </w:tcPr>
          <w:p>
            <w:pPr>
              <w:pStyle w:val="11"/>
            </w:pPr>
            <w:r>
              <w:t>485.93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452.35</w:t>
            </w:r>
          </w:p>
        </w:tc>
        <w:tc>
          <w:tcPr>
            <w:tcW w:w="1134" w:type="dxa"/>
            <w:vAlign w:val="center"/>
          </w:tcPr>
          <w:p>
            <w:pPr>
              <w:pStyle w:val="11"/>
            </w:pPr>
            <w:r>
              <w:t>452.35</w:t>
            </w:r>
          </w:p>
        </w:tc>
        <w:tc>
          <w:tcPr>
            <w:tcW w:w="1134" w:type="dxa"/>
            <w:vAlign w:val="center"/>
          </w:tcPr>
          <w:p>
            <w:pPr>
              <w:pStyle w:val="11"/>
            </w:pPr>
            <w:r>
              <w:t>452.35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33.58</w:t>
            </w:r>
          </w:p>
        </w:tc>
        <w:tc>
          <w:tcPr>
            <w:tcW w:w="1134" w:type="dxa"/>
            <w:vAlign w:val="center"/>
          </w:tcPr>
          <w:p>
            <w:pPr>
              <w:pStyle w:val="11"/>
            </w:pPr>
            <w:r>
              <w:t>33.58</w:t>
            </w:r>
          </w:p>
        </w:tc>
        <w:tc>
          <w:tcPr>
            <w:tcW w:w="1134" w:type="dxa"/>
            <w:vAlign w:val="center"/>
          </w:tcPr>
          <w:p>
            <w:pPr>
              <w:pStyle w:val="11"/>
            </w:pPr>
            <w:r>
              <w:t>33.58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405.95</w:t>
            </w:r>
          </w:p>
        </w:tc>
        <w:tc>
          <w:tcPr>
            <w:tcW w:w="1134" w:type="dxa"/>
            <w:vAlign w:val="center"/>
          </w:tcPr>
          <w:p>
            <w:pPr>
              <w:pStyle w:val="11"/>
            </w:pPr>
            <w:r>
              <w:t>405.95</w:t>
            </w:r>
          </w:p>
        </w:tc>
        <w:tc>
          <w:tcPr>
            <w:tcW w:w="1134" w:type="dxa"/>
            <w:vAlign w:val="center"/>
          </w:tcPr>
          <w:p>
            <w:pPr>
              <w:pStyle w:val="11"/>
            </w:pPr>
            <w:r>
              <w:t>405.95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405.95</w:t>
            </w:r>
          </w:p>
        </w:tc>
        <w:tc>
          <w:tcPr>
            <w:tcW w:w="1134" w:type="dxa"/>
            <w:vAlign w:val="center"/>
          </w:tcPr>
          <w:p>
            <w:pPr>
              <w:pStyle w:val="11"/>
            </w:pPr>
            <w:r>
              <w:t>405.95</w:t>
            </w:r>
          </w:p>
        </w:tc>
        <w:tc>
          <w:tcPr>
            <w:tcW w:w="1134" w:type="dxa"/>
            <w:vAlign w:val="center"/>
          </w:tcPr>
          <w:p>
            <w:pPr>
              <w:pStyle w:val="11"/>
            </w:pPr>
            <w:r>
              <w:t>405.95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405.95</w:t>
            </w:r>
          </w:p>
        </w:tc>
        <w:tc>
          <w:tcPr>
            <w:tcW w:w="1134" w:type="dxa"/>
            <w:vAlign w:val="center"/>
          </w:tcPr>
          <w:p>
            <w:pPr>
              <w:pStyle w:val="11"/>
            </w:pPr>
            <w:r>
              <w:t>405.95</w:t>
            </w:r>
          </w:p>
        </w:tc>
        <w:tc>
          <w:tcPr>
            <w:tcW w:w="1134" w:type="dxa"/>
            <w:vAlign w:val="center"/>
          </w:tcPr>
          <w:p>
            <w:pPr>
              <w:pStyle w:val="11"/>
            </w:pPr>
            <w:r>
              <w:t>405.95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jc w:val="center"/>
        <w:outlineLvl w:val="1"/>
        <w:rPr>
          <w:rFonts w:ascii="方正小标宋_GBK" w:hAnsi="方正小标宋_GBK" w:eastAsia="方正小标宋_GBK" w:cs="方正小标宋_GBK"/>
          <w:color w:val="000000"/>
          <w:sz w:val="36"/>
        </w:rPr>
      </w:pPr>
      <w:bookmarkStart w:id="2" w:name="_Toc_2_2_0000000003"/>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outlineLvl w:val="1"/>
        <w:rPr>
          <w:rFonts w:ascii="方正小标宋_GBK" w:hAnsi="方正小标宋_GBK" w:eastAsia="方正小标宋_GBK" w:cs="方正小标宋_GBK"/>
          <w:color w:val="000000"/>
          <w:sz w:val="36"/>
          <w:lang w:eastAsia="zh-CN"/>
        </w:rPr>
      </w:pPr>
    </w:p>
    <w:p>
      <w:pPr>
        <w:jc w:val="center"/>
        <w:outlineLvl w:val="1"/>
      </w:pPr>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319河北省审计厅</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13018.62</w:t>
            </w:r>
          </w:p>
        </w:tc>
        <w:tc>
          <w:tcPr>
            <w:tcW w:w="1361" w:type="dxa"/>
            <w:vAlign w:val="center"/>
          </w:tcPr>
          <w:p>
            <w:pPr>
              <w:pStyle w:val="15"/>
            </w:pPr>
            <w:r>
              <w:t>8805.29</w:t>
            </w:r>
          </w:p>
        </w:tc>
        <w:tc>
          <w:tcPr>
            <w:tcW w:w="1361" w:type="dxa"/>
            <w:vAlign w:val="center"/>
          </w:tcPr>
          <w:p>
            <w:pPr>
              <w:pStyle w:val="15"/>
            </w:pPr>
            <w:r>
              <w:t>4213.33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10604.51</w:t>
            </w:r>
          </w:p>
        </w:tc>
        <w:tc>
          <w:tcPr>
            <w:tcW w:w="1361" w:type="dxa"/>
            <w:vAlign w:val="center"/>
          </w:tcPr>
          <w:p>
            <w:pPr>
              <w:pStyle w:val="11"/>
            </w:pPr>
            <w:r>
              <w:t>6391.18</w:t>
            </w:r>
          </w:p>
        </w:tc>
        <w:tc>
          <w:tcPr>
            <w:tcW w:w="1361" w:type="dxa"/>
            <w:vAlign w:val="center"/>
          </w:tcPr>
          <w:p>
            <w:pPr>
              <w:pStyle w:val="11"/>
            </w:pPr>
            <w:r>
              <w:t>4213.33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5" w:type="dxa"/>
            <w:vAlign w:val="center"/>
          </w:tcPr>
          <w:p>
            <w:pPr>
              <w:pStyle w:val="12"/>
            </w:pPr>
            <w:r>
              <w:t>审计事务</w:t>
            </w:r>
          </w:p>
        </w:tc>
        <w:tc>
          <w:tcPr>
            <w:tcW w:w="1361" w:type="dxa"/>
            <w:vAlign w:val="center"/>
          </w:tcPr>
          <w:p>
            <w:pPr>
              <w:pStyle w:val="11"/>
            </w:pPr>
            <w:r>
              <w:t>10604.51</w:t>
            </w:r>
          </w:p>
        </w:tc>
        <w:tc>
          <w:tcPr>
            <w:tcW w:w="1361" w:type="dxa"/>
            <w:vAlign w:val="center"/>
          </w:tcPr>
          <w:p>
            <w:pPr>
              <w:pStyle w:val="11"/>
            </w:pPr>
            <w:r>
              <w:t>6391.18</w:t>
            </w:r>
          </w:p>
        </w:tc>
        <w:tc>
          <w:tcPr>
            <w:tcW w:w="1361" w:type="dxa"/>
            <w:vAlign w:val="center"/>
          </w:tcPr>
          <w:p>
            <w:pPr>
              <w:pStyle w:val="11"/>
            </w:pPr>
            <w:r>
              <w:t>4213.33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5" w:type="dxa"/>
            <w:vAlign w:val="center"/>
          </w:tcPr>
          <w:p>
            <w:pPr>
              <w:pStyle w:val="12"/>
            </w:pPr>
            <w:r>
              <w:t>行政运行</w:t>
            </w:r>
          </w:p>
        </w:tc>
        <w:tc>
          <w:tcPr>
            <w:tcW w:w="1361" w:type="dxa"/>
            <w:vAlign w:val="center"/>
          </w:tcPr>
          <w:p>
            <w:pPr>
              <w:pStyle w:val="11"/>
            </w:pPr>
            <w:r>
              <w:t>5957.67</w:t>
            </w:r>
          </w:p>
        </w:tc>
        <w:tc>
          <w:tcPr>
            <w:tcW w:w="1361" w:type="dxa"/>
            <w:vAlign w:val="center"/>
          </w:tcPr>
          <w:p>
            <w:pPr>
              <w:pStyle w:val="11"/>
            </w:pPr>
            <w:r>
              <w:t>5957.67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2010802</w:t>
            </w:r>
          </w:p>
        </w:tc>
        <w:tc>
          <w:tcPr>
            <w:tcW w:w="4535" w:type="dxa"/>
            <w:vAlign w:val="center"/>
          </w:tcPr>
          <w:p>
            <w:pPr>
              <w:pStyle w:val="12"/>
            </w:pPr>
            <w:r>
              <w:t>一般行政管理事务</w:t>
            </w:r>
          </w:p>
        </w:tc>
        <w:tc>
          <w:tcPr>
            <w:tcW w:w="1361" w:type="dxa"/>
            <w:vAlign w:val="center"/>
          </w:tcPr>
          <w:p>
            <w:pPr>
              <w:pStyle w:val="11"/>
            </w:pPr>
            <w:r>
              <w:t>126.93</w:t>
            </w:r>
          </w:p>
        </w:tc>
        <w:tc>
          <w:tcPr>
            <w:tcW w:w="1361" w:type="dxa"/>
            <w:vAlign w:val="center"/>
          </w:tcPr>
          <w:p>
            <w:pPr>
              <w:pStyle w:val="11"/>
            </w:pPr>
          </w:p>
        </w:tc>
        <w:tc>
          <w:tcPr>
            <w:tcW w:w="1361" w:type="dxa"/>
            <w:vAlign w:val="center"/>
          </w:tcPr>
          <w:p>
            <w:pPr>
              <w:pStyle w:val="11"/>
            </w:pPr>
            <w:r>
              <w:t>126.93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2010804</w:t>
            </w:r>
          </w:p>
        </w:tc>
        <w:tc>
          <w:tcPr>
            <w:tcW w:w="4535" w:type="dxa"/>
            <w:vAlign w:val="center"/>
          </w:tcPr>
          <w:p>
            <w:pPr>
              <w:pStyle w:val="12"/>
            </w:pPr>
            <w:r>
              <w:t>审计业务</w:t>
            </w:r>
          </w:p>
        </w:tc>
        <w:tc>
          <w:tcPr>
            <w:tcW w:w="1361" w:type="dxa"/>
            <w:vAlign w:val="center"/>
          </w:tcPr>
          <w:p>
            <w:pPr>
              <w:pStyle w:val="11"/>
            </w:pPr>
            <w:r>
              <w:t>3434.40</w:t>
            </w:r>
          </w:p>
        </w:tc>
        <w:tc>
          <w:tcPr>
            <w:tcW w:w="1361" w:type="dxa"/>
            <w:vAlign w:val="center"/>
          </w:tcPr>
          <w:p>
            <w:pPr>
              <w:pStyle w:val="11"/>
            </w:pPr>
          </w:p>
        </w:tc>
        <w:tc>
          <w:tcPr>
            <w:tcW w:w="1361" w:type="dxa"/>
            <w:vAlign w:val="center"/>
          </w:tcPr>
          <w:p>
            <w:pPr>
              <w:pStyle w:val="11"/>
            </w:pPr>
            <w:r>
              <w:t>3434.40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2010806</w:t>
            </w:r>
          </w:p>
        </w:tc>
        <w:tc>
          <w:tcPr>
            <w:tcW w:w="4535" w:type="dxa"/>
            <w:vAlign w:val="center"/>
          </w:tcPr>
          <w:p>
            <w:pPr>
              <w:pStyle w:val="12"/>
            </w:pPr>
            <w:r>
              <w:t>信息化建设</w:t>
            </w:r>
          </w:p>
        </w:tc>
        <w:tc>
          <w:tcPr>
            <w:tcW w:w="1361" w:type="dxa"/>
            <w:vAlign w:val="center"/>
          </w:tcPr>
          <w:p>
            <w:pPr>
              <w:pStyle w:val="11"/>
            </w:pPr>
            <w:r>
              <w:t>572.00</w:t>
            </w:r>
          </w:p>
        </w:tc>
        <w:tc>
          <w:tcPr>
            <w:tcW w:w="1361" w:type="dxa"/>
            <w:vAlign w:val="center"/>
          </w:tcPr>
          <w:p>
            <w:pPr>
              <w:pStyle w:val="11"/>
            </w:pPr>
          </w:p>
        </w:tc>
        <w:tc>
          <w:tcPr>
            <w:tcW w:w="1361" w:type="dxa"/>
            <w:vAlign w:val="center"/>
          </w:tcPr>
          <w:p>
            <w:pPr>
              <w:pStyle w:val="11"/>
            </w:pPr>
            <w:r>
              <w:t>572.00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2010850</w:t>
            </w:r>
          </w:p>
        </w:tc>
        <w:tc>
          <w:tcPr>
            <w:tcW w:w="4535" w:type="dxa"/>
            <w:vAlign w:val="center"/>
          </w:tcPr>
          <w:p>
            <w:pPr>
              <w:pStyle w:val="12"/>
            </w:pPr>
            <w:r>
              <w:t>事业运行</w:t>
            </w:r>
          </w:p>
        </w:tc>
        <w:tc>
          <w:tcPr>
            <w:tcW w:w="1361" w:type="dxa"/>
            <w:vAlign w:val="center"/>
          </w:tcPr>
          <w:p>
            <w:pPr>
              <w:pStyle w:val="11"/>
            </w:pPr>
            <w:r>
              <w:t>433.51</w:t>
            </w:r>
          </w:p>
        </w:tc>
        <w:tc>
          <w:tcPr>
            <w:tcW w:w="1361" w:type="dxa"/>
            <w:vAlign w:val="center"/>
          </w:tcPr>
          <w:p>
            <w:pPr>
              <w:pStyle w:val="11"/>
            </w:pPr>
            <w:r>
              <w:t>433.51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2010899</w:t>
            </w:r>
          </w:p>
        </w:tc>
        <w:tc>
          <w:tcPr>
            <w:tcW w:w="4535" w:type="dxa"/>
            <w:vAlign w:val="center"/>
          </w:tcPr>
          <w:p>
            <w:pPr>
              <w:pStyle w:val="12"/>
            </w:pPr>
            <w:r>
              <w:t>其他审计事务支出</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1522.23</w:t>
            </w:r>
          </w:p>
        </w:tc>
        <w:tc>
          <w:tcPr>
            <w:tcW w:w="1361" w:type="dxa"/>
            <w:vAlign w:val="center"/>
          </w:tcPr>
          <w:p>
            <w:pPr>
              <w:pStyle w:val="11"/>
            </w:pPr>
            <w:r>
              <w:t>1522.23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1522.23</w:t>
            </w:r>
          </w:p>
        </w:tc>
        <w:tc>
          <w:tcPr>
            <w:tcW w:w="1361" w:type="dxa"/>
            <w:vAlign w:val="center"/>
          </w:tcPr>
          <w:p>
            <w:pPr>
              <w:pStyle w:val="11"/>
            </w:pPr>
            <w:r>
              <w:t>1522.23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622.60</w:t>
            </w:r>
          </w:p>
        </w:tc>
        <w:tc>
          <w:tcPr>
            <w:tcW w:w="1361" w:type="dxa"/>
            <w:vAlign w:val="center"/>
          </w:tcPr>
          <w:p>
            <w:pPr>
              <w:pStyle w:val="11"/>
            </w:pPr>
            <w:r>
              <w:t>622.60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39.92</w:t>
            </w:r>
          </w:p>
        </w:tc>
        <w:tc>
          <w:tcPr>
            <w:tcW w:w="1361" w:type="dxa"/>
            <w:vAlign w:val="center"/>
          </w:tcPr>
          <w:p>
            <w:pPr>
              <w:pStyle w:val="11"/>
            </w:pPr>
            <w:r>
              <w:t>39.92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572.45</w:t>
            </w:r>
          </w:p>
        </w:tc>
        <w:tc>
          <w:tcPr>
            <w:tcW w:w="1361" w:type="dxa"/>
            <w:vAlign w:val="center"/>
          </w:tcPr>
          <w:p>
            <w:pPr>
              <w:pStyle w:val="11"/>
            </w:pPr>
            <w:r>
              <w:t>572.45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287.26</w:t>
            </w:r>
          </w:p>
        </w:tc>
        <w:tc>
          <w:tcPr>
            <w:tcW w:w="1361" w:type="dxa"/>
            <w:vAlign w:val="center"/>
          </w:tcPr>
          <w:p>
            <w:pPr>
              <w:pStyle w:val="11"/>
            </w:pPr>
            <w:r>
              <w:t>287.26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485.93</w:t>
            </w:r>
          </w:p>
        </w:tc>
        <w:tc>
          <w:tcPr>
            <w:tcW w:w="1361" w:type="dxa"/>
            <w:vAlign w:val="center"/>
          </w:tcPr>
          <w:p>
            <w:pPr>
              <w:pStyle w:val="11"/>
            </w:pPr>
            <w:r>
              <w:t>485.93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485.93</w:t>
            </w:r>
          </w:p>
        </w:tc>
        <w:tc>
          <w:tcPr>
            <w:tcW w:w="1361" w:type="dxa"/>
            <w:vAlign w:val="center"/>
          </w:tcPr>
          <w:p>
            <w:pPr>
              <w:pStyle w:val="11"/>
            </w:pPr>
            <w:r>
              <w:t>485.93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452.35</w:t>
            </w:r>
          </w:p>
        </w:tc>
        <w:tc>
          <w:tcPr>
            <w:tcW w:w="1361" w:type="dxa"/>
            <w:vAlign w:val="center"/>
          </w:tcPr>
          <w:p>
            <w:pPr>
              <w:pStyle w:val="11"/>
            </w:pPr>
            <w:r>
              <w:t>452.35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33.58</w:t>
            </w:r>
          </w:p>
        </w:tc>
        <w:tc>
          <w:tcPr>
            <w:tcW w:w="1361" w:type="dxa"/>
            <w:vAlign w:val="center"/>
          </w:tcPr>
          <w:p>
            <w:pPr>
              <w:pStyle w:val="11"/>
            </w:pPr>
            <w:r>
              <w:t>33.58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405.95</w:t>
            </w:r>
          </w:p>
        </w:tc>
        <w:tc>
          <w:tcPr>
            <w:tcW w:w="1361" w:type="dxa"/>
            <w:vAlign w:val="center"/>
          </w:tcPr>
          <w:p>
            <w:pPr>
              <w:pStyle w:val="11"/>
            </w:pPr>
            <w:r>
              <w:t>405.95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405.95</w:t>
            </w:r>
          </w:p>
        </w:tc>
        <w:tc>
          <w:tcPr>
            <w:tcW w:w="1361" w:type="dxa"/>
            <w:vAlign w:val="center"/>
          </w:tcPr>
          <w:p>
            <w:pPr>
              <w:pStyle w:val="11"/>
            </w:pPr>
            <w:r>
              <w:t>405.95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405.95</w:t>
            </w:r>
          </w:p>
        </w:tc>
        <w:tc>
          <w:tcPr>
            <w:tcW w:w="1361" w:type="dxa"/>
            <w:vAlign w:val="center"/>
          </w:tcPr>
          <w:p>
            <w:pPr>
              <w:pStyle w:val="11"/>
            </w:pPr>
            <w:r>
              <w:t>405.95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footerReference r:id="rId4" w:type="default"/>
          <w:footerReference r:id="rId5" w:type="even"/>
          <w:pgSz w:w="16840" w:h="11900" w:orient="landscape"/>
          <w:pgMar w:top="1361" w:right="1020" w:bottom="1134" w:left="1020" w:header="720" w:footer="720" w:gutter="0"/>
          <w:pgNumType w:start="1"/>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319河北省审计厅</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12518.62</w:t>
            </w:r>
          </w:p>
        </w:tc>
        <w:tc>
          <w:tcPr>
            <w:tcW w:w="3402" w:type="dxa"/>
            <w:vAlign w:val="center"/>
          </w:tcPr>
          <w:p>
            <w:pPr>
              <w:pStyle w:val="12"/>
            </w:pPr>
            <w:r>
              <w:t>一、一般公共服务支出</w:t>
            </w:r>
          </w:p>
        </w:tc>
        <w:tc>
          <w:tcPr>
            <w:tcW w:w="1474" w:type="dxa"/>
            <w:vAlign w:val="center"/>
          </w:tcPr>
          <w:p>
            <w:pPr>
              <w:pStyle w:val="11"/>
            </w:pPr>
            <w:r>
              <w:t>10104.51</w:t>
            </w:r>
          </w:p>
        </w:tc>
        <w:tc>
          <w:tcPr>
            <w:tcW w:w="1474" w:type="dxa"/>
            <w:vAlign w:val="center"/>
          </w:tcPr>
          <w:p>
            <w:pPr>
              <w:pStyle w:val="11"/>
            </w:pPr>
            <w:r>
              <w:t>10104.51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1522.23</w:t>
            </w:r>
          </w:p>
        </w:tc>
        <w:tc>
          <w:tcPr>
            <w:tcW w:w="1474" w:type="dxa"/>
            <w:vAlign w:val="center"/>
          </w:tcPr>
          <w:p>
            <w:pPr>
              <w:pStyle w:val="11"/>
            </w:pPr>
            <w:r>
              <w:t>1522.23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485.93</w:t>
            </w:r>
          </w:p>
        </w:tc>
        <w:tc>
          <w:tcPr>
            <w:tcW w:w="1474" w:type="dxa"/>
            <w:vAlign w:val="center"/>
          </w:tcPr>
          <w:p>
            <w:pPr>
              <w:pStyle w:val="11"/>
            </w:pPr>
            <w:r>
              <w:t>485.93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405.95</w:t>
            </w:r>
          </w:p>
        </w:tc>
        <w:tc>
          <w:tcPr>
            <w:tcW w:w="1474" w:type="dxa"/>
            <w:vAlign w:val="center"/>
          </w:tcPr>
          <w:p>
            <w:pPr>
              <w:pStyle w:val="11"/>
            </w:pPr>
            <w:r>
              <w:t>405.95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12518.62</w:t>
            </w:r>
          </w:p>
        </w:tc>
        <w:tc>
          <w:tcPr>
            <w:tcW w:w="3402" w:type="dxa"/>
            <w:vAlign w:val="center"/>
          </w:tcPr>
          <w:p>
            <w:pPr>
              <w:pStyle w:val="14"/>
            </w:pPr>
            <w:r>
              <w:t>本年支出合计</w:t>
            </w:r>
          </w:p>
        </w:tc>
        <w:tc>
          <w:tcPr>
            <w:tcW w:w="1474" w:type="dxa"/>
            <w:vAlign w:val="center"/>
          </w:tcPr>
          <w:p>
            <w:pPr>
              <w:pStyle w:val="15"/>
            </w:pPr>
            <w:r>
              <w:t>12518.62</w:t>
            </w:r>
          </w:p>
        </w:tc>
        <w:tc>
          <w:tcPr>
            <w:tcW w:w="1474" w:type="dxa"/>
            <w:vAlign w:val="center"/>
          </w:tcPr>
          <w:p>
            <w:pPr>
              <w:pStyle w:val="15"/>
            </w:pPr>
            <w:r>
              <w:t>12518.62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12518.62</w:t>
            </w:r>
          </w:p>
        </w:tc>
        <w:tc>
          <w:tcPr>
            <w:tcW w:w="3402" w:type="dxa"/>
            <w:vAlign w:val="center"/>
          </w:tcPr>
          <w:p>
            <w:pPr>
              <w:pStyle w:val="14"/>
            </w:pPr>
            <w:r>
              <w:t>支出总计</w:t>
            </w:r>
          </w:p>
        </w:tc>
        <w:tc>
          <w:tcPr>
            <w:tcW w:w="1474" w:type="dxa"/>
            <w:vAlign w:val="center"/>
          </w:tcPr>
          <w:p>
            <w:pPr>
              <w:pStyle w:val="15"/>
            </w:pPr>
            <w:r>
              <w:t>12518.62</w:t>
            </w:r>
          </w:p>
        </w:tc>
        <w:tc>
          <w:tcPr>
            <w:tcW w:w="1474" w:type="dxa"/>
            <w:vAlign w:val="center"/>
          </w:tcPr>
          <w:p>
            <w:pPr>
              <w:pStyle w:val="15"/>
            </w:pPr>
            <w:r>
              <w:t>12518.62</w:t>
            </w:r>
          </w:p>
        </w:tc>
        <w:tc>
          <w:tcPr>
            <w:tcW w:w="1474" w:type="dxa"/>
            <w:vAlign w:val="center"/>
          </w:tcPr>
          <w:p>
            <w:pPr>
              <w:pStyle w:val="15"/>
            </w:pPr>
          </w:p>
        </w:tc>
        <w:tc>
          <w:tcPr>
            <w:tcW w:w="1474" w:type="dxa"/>
            <w:vAlign w:val="center"/>
          </w:tcPr>
          <w:p>
            <w:pPr>
              <w:pStyle w:val="15"/>
            </w:pPr>
          </w:p>
        </w:tc>
      </w:tr>
    </w:tbl>
    <w:p>
      <w:pPr>
        <w:jc w:val="center"/>
        <w:outlineLvl w:val="1"/>
        <w:rPr>
          <w:rFonts w:ascii="方正小标宋_GBK" w:hAnsi="方正小标宋_GBK" w:eastAsia="方正小标宋_GBK" w:cs="方正小标宋_GBK"/>
          <w:color w:val="000000"/>
          <w:sz w:val="36"/>
        </w:rPr>
      </w:pPr>
      <w:bookmarkStart w:id="4" w:name="_Toc_2_2_0000000005"/>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pPr>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319河北省审计厅</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12518.62</w:t>
            </w:r>
          </w:p>
        </w:tc>
        <w:tc>
          <w:tcPr>
            <w:tcW w:w="2551" w:type="dxa"/>
            <w:vAlign w:val="center"/>
          </w:tcPr>
          <w:p>
            <w:pPr>
              <w:pStyle w:val="15"/>
            </w:pPr>
            <w:r>
              <w:t>8805.29</w:t>
            </w:r>
          </w:p>
        </w:tc>
        <w:tc>
          <w:tcPr>
            <w:tcW w:w="2551" w:type="dxa"/>
            <w:vAlign w:val="center"/>
          </w:tcPr>
          <w:p>
            <w:pPr>
              <w:pStyle w:val="15"/>
            </w:pPr>
            <w:r>
              <w:t>3713.33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10104.51</w:t>
            </w:r>
          </w:p>
        </w:tc>
        <w:tc>
          <w:tcPr>
            <w:tcW w:w="2551" w:type="dxa"/>
            <w:vAlign w:val="center"/>
          </w:tcPr>
          <w:p>
            <w:pPr>
              <w:pStyle w:val="11"/>
            </w:pPr>
            <w:r>
              <w:t>6391.18</w:t>
            </w:r>
          </w:p>
        </w:tc>
        <w:tc>
          <w:tcPr>
            <w:tcW w:w="2551" w:type="dxa"/>
            <w:vAlign w:val="center"/>
          </w:tcPr>
          <w:p>
            <w:pPr>
              <w:pStyle w:val="11"/>
            </w:pPr>
            <w:r>
              <w:t>3713.33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10104.51</w:t>
            </w:r>
          </w:p>
        </w:tc>
        <w:tc>
          <w:tcPr>
            <w:tcW w:w="2551" w:type="dxa"/>
            <w:vAlign w:val="center"/>
          </w:tcPr>
          <w:p>
            <w:pPr>
              <w:pStyle w:val="11"/>
            </w:pPr>
            <w:r>
              <w:t>6391.18</w:t>
            </w:r>
          </w:p>
        </w:tc>
        <w:tc>
          <w:tcPr>
            <w:tcW w:w="2551" w:type="dxa"/>
            <w:vAlign w:val="center"/>
          </w:tcPr>
          <w:p>
            <w:pPr>
              <w:pStyle w:val="11"/>
            </w:pPr>
            <w:r>
              <w:t>3713.33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5957.67</w:t>
            </w:r>
          </w:p>
        </w:tc>
        <w:tc>
          <w:tcPr>
            <w:tcW w:w="2551" w:type="dxa"/>
            <w:vAlign w:val="center"/>
          </w:tcPr>
          <w:p>
            <w:pPr>
              <w:pStyle w:val="11"/>
            </w:pPr>
            <w:r>
              <w:t>5957.67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2010802</w:t>
            </w:r>
          </w:p>
        </w:tc>
        <w:tc>
          <w:tcPr>
            <w:tcW w:w="4535" w:type="dxa"/>
            <w:vAlign w:val="center"/>
          </w:tcPr>
          <w:p>
            <w:pPr>
              <w:pStyle w:val="12"/>
            </w:pPr>
            <w:r>
              <w:t>一般行政管理事务</w:t>
            </w:r>
          </w:p>
        </w:tc>
        <w:tc>
          <w:tcPr>
            <w:tcW w:w="2551" w:type="dxa"/>
            <w:vAlign w:val="center"/>
          </w:tcPr>
          <w:p>
            <w:pPr>
              <w:pStyle w:val="11"/>
            </w:pPr>
            <w:r>
              <w:t>126.93</w:t>
            </w:r>
          </w:p>
        </w:tc>
        <w:tc>
          <w:tcPr>
            <w:tcW w:w="2551" w:type="dxa"/>
            <w:vAlign w:val="center"/>
          </w:tcPr>
          <w:p>
            <w:pPr>
              <w:pStyle w:val="11"/>
            </w:pPr>
          </w:p>
        </w:tc>
        <w:tc>
          <w:tcPr>
            <w:tcW w:w="2551" w:type="dxa"/>
            <w:vAlign w:val="center"/>
          </w:tcPr>
          <w:p>
            <w:pPr>
              <w:pStyle w:val="11"/>
            </w:pPr>
            <w:r>
              <w:t>126.93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2934.40</w:t>
            </w:r>
          </w:p>
        </w:tc>
        <w:tc>
          <w:tcPr>
            <w:tcW w:w="2551" w:type="dxa"/>
            <w:vAlign w:val="center"/>
          </w:tcPr>
          <w:p>
            <w:pPr>
              <w:pStyle w:val="11"/>
            </w:pPr>
          </w:p>
        </w:tc>
        <w:tc>
          <w:tcPr>
            <w:tcW w:w="2551" w:type="dxa"/>
            <w:vAlign w:val="center"/>
          </w:tcPr>
          <w:p>
            <w:pPr>
              <w:pStyle w:val="11"/>
            </w:pPr>
            <w:r>
              <w:t>2934.40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2010806</w:t>
            </w:r>
          </w:p>
        </w:tc>
        <w:tc>
          <w:tcPr>
            <w:tcW w:w="4535" w:type="dxa"/>
            <w:vAlign w:val="center"/>
          </w:tcPr>
          <w:p>
            <w:pPr>
              <w:pStyle w:val="12"/>
            </w:pPr>
            <w:r>
              <w:t>信息化建设</w:t>
            </w:r>
          </w:p>
        </w:tc>
        <w:tc>
          <w:tcPr>
            <w:tcW w:w="2551" w:type="dxa"/>
            <w:vAlign w:val="center"/>
          </w:tcPr>
          <w:p>
            <w:pPr>
              <w:pStyle w:val="11"/>
            </w:pPr>
            <w:r>
              <w:t>572.00</w:t>
            </w:r>
          </w:p>
        </w:tc>
        <w:tc>
          <w:tcPr>
            <w:tcW w:w="2551" w:type="dxa"/>
            <w:vAlign w:val="center"/>
          </w:tcPr>
          <w:p>
            <w:pPr>
              <w:pStyle w:val="11"/>
            </w:pPr>
          </w:p>
        </w:tc>
        <w:tc>
          <w:tcPr>
            <w:tcW w:w="2551" w:type="dxa"/>
            <w:vAlign w:val="center"/>
          </w:tcPr>
          <w:p>
            <w:pPr>
              <w:pStyle w:val="11"/>
            </w:pPr>
            <w:r>
              <w:t>572.00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2010850</w:t>
            </w:r>
          </w:p>
        </w:tc>
        <w:tc>
          <w:tcPr>
            <w:tcW w:w="4535" w:type="dxa"/>
            <w:vAlign w:val="center"/>
          </w:tcPr>
          <w:p>
            <w:pPr>
              <w:pStyle w:val="12"/>
            </w:pPr>
            <w:r>
              <w:t>事业运行</w:t>
            </w:r>
          </w:p>
        </w:tc>
        <w:tc>
          <w:tcPr>
            <w:tcW w:w="2551" w:type="dxa"/>
            <w:vAlign w:val="center"/>
          </w:tcPr>
          <w:p>
            <w:pPr>
              <w:pStyle w:val="11"/>
            </w:pPr>
            <w:r>
              <w:t>433.51</w:t>
            </w:r>
          </w:p>
        </w:tc>
        <w:tc>
          <w:tcPr>
            <w:tcW w:w="2551" w:type="dxa"/>
            <w:vAlign w:val="center"/>
          </w:tcPr>
          <w:p>
            <w:pPr>
              <w:pStyle w:val="11"/>
            </w:pPr>
            <w:r>
              <w:t>433.51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2010899</w:t>
            </w:r>
          </w:p>
        </w:tc>
        <w:tc>
          <w:tcPr>
            <w:tcW w:w="4535" w:type="dxa"/>
            <w:vAlign w:val="center"/>
          </w:tcPr>
          <w:p>
            <w:pPr>
              <w:pStyle w:val="12"/>
            </w:pPr>
            <w:r>
              <w:t>其他审计事务支出</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1522.23</w:t>
            </w:r>
          </w:p>
        </w:tc>
        <w:tc>
          <w:tcPr>
            <w:tcW w:w="2551" w:type="dxa"/>
            <w:vAlign w:val="center"/>
          </w:tcPr>
          <w:p>
            <w:pPr>
              <w:pStyle w:val="11"/>
            </w:pPr>
            <w:r>
              <w:t>1522.23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1522.23</w:t>
            </w:r>
          </w:p>
        </w:tc>
        <w:tc>
          <w:tcPr>
            <w:tcW w:w="2551" w:type="dxa"/>
            <w:vAlign w:val="center"/>
          </w:tcPr>
          <w:p>
            <w:pPr>
              <w:pStyle w:val="11"/>
            </w:pPr>
            <w:r>
              <w:t>1522.23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622.60</w:t>
            </w:r>
          </w:p>
        </w:tc>
        <w:tc>
          <w:tcPr>
            <w:tcW w:w="2551" w:type="dxa"/>
            <w:vAlign w:val="center"/>
          </w:tcPr>
          <w:p>
            <w:pPr>
              <w:pStyle w:val="11"/>
            </w:pPr>
            <w:r>
              <w:t>622.60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39.92</w:t>
            </w:r>
          </w:p>
        </w:tc>
        <w:tc>
          <w:tcPr>
            <w:tcW w:w="2551" w:type="dxa"/>
            <w:vAlign w:val="center"/>
          </w:tcPr>
          <w:p>
            <w:pPr>
              <w:pStyle w:val="11"/>
            </w:pPr>
            <w:r>
              <w:t>39.92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572.45</w:t>
            </w:r>
          </w:p>
        </w:tc>
        <w:tc>
          <w:tcPr>
            <w:tcW w:w="2551" w:type="dxa"/>
            <w:vAlign w:val="center"/>
          </w:tcPr>
          <w:p>
            <w:pPr>
              <w:pStyle w:val="11"/>
            </w:pPr>
            <w:r>
              <w:t>572.45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287.26</w:t>
            </w:r>
          </w:p>
        </w:tc>
        <w:tc>
          <w:tcPr>
            <w:tcW w:w="2551" w:type="dxa"/>
            <w:vAlign w:val="center"/>
          </w:tcPr>
          <w:p>
            <w:pPr>
              <w:pStyle w:val="11"/>
            </w:pPr>
            <w:r>
              <w:t>287.26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485.93</w:t>
            </w:r>
          </w:p>
        </w:tc>
        <w:tc>
          <w:tcPr>
            <w:tcW w:w="2551" w:type="dxa"/>
            <w:vAlign w:val="center"/>
          </w:tcPr>
          <w:p>
            <w:pPr>
              <w:pStyle w:val="11"/>
            </w:pPr>
            <w:r>
              <w:t>485.93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485.93</w:t>
            </w:r>
          </w:p>
        </w:tc>
        <w:tc>
          <w:tcPr>
            <w:tcW w:w="2551" w:type="dxa"/>
            <w:vAlign w:val="center"/>
          </w:tcPr>
          <w:p>
            <w:pPr>
              <w:pStyle w:val="11"/>
            </w:pPr>
            <w:r>
              <w:t>485.93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452.35</w:t>
            </w:r>
          </w:p>
        </w:tc>
        <w:tc>
          <w:tcPr>
            <w:tcW w:w="2551" w:type="dxa"/>
            <w:vAlign w:val="center"/>
          </w:tcPr>
          <w:p>
            <w:pPr>
              <w:pStyle w:val="11"/>
            </w:pPr>
            <w:r>
              <w:t>452.35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33.58</w:t>
            </w:r>
          </w:p>
        </w:tc>
        <w:tc>
          <w:tcPr>
            <w:tcW w:w="2551" w:type="dxa"/>
            <w:vAlign w:val="center"/>
          </w:tcPr>
          <w:p>
            <w:pPr>
              <w:pStyle w:val="11"/>
            </w:pPr>
            <w:r>
              <w:t>33.58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405.95</w:t>
            </w:r>
          </w:p>
        </w:tc>
        <w:tc>
          <w:tcPr>
            <w:tcW w:w="2551" w:type="dxa"/>
            <w:vAlign w:val="center"/>
          </w:tcPr>
          <w:p>
            <w:pPr>
              <w:pStyle w:val="11"/>
            </w:pPr>
            <w:r>
              <w:t>405.95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405.95</w:t>
            </w:r>
          </w:p>
        </w:tc>
        <w:tc>
          <w:tcPr>
            <w:tcW w:w="2551" w:type="dxa"/>
            <w:vAlign w:val="center"/>
          </w:tcPr>
          <w:p>
            <w:pPr>
              <w:pStyle w:val="11"/>
            </w:pPr>
            <w:r>
              <w:t>405.95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405.95</w:t>
            </w:r>
          </w:p>
        </w:tc>
        <w:tc>
          <w:tcPr>
            <w:tcW w:w="2551" w:type="dxa"/>
            <w:vAlign w:val="center"/>
          </w:tcPr>
          <w:p>
            <w:pPr>
              <w:pStyle w:val="11"/>
            </w:pPr>
            <w:r>
              <w:t>405.95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319河北省审计厅</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8805.29</w:t>
            </w:r>
          </w:p>
        </w:tc>
        <w:tc>
          <w:tcPr>
            <w:tcW w:w="2551" w:type="dxa"/>
            <w:vAlign w:val="center"/>
          </w:tcPr>
          <w:p>
            <w:pPr>
              <w:pStyle w:val="15"/>
            </w:pPr>
            <w:r>
              <w:t>7283.41</w:t>
            </w:r>
          </w:p>
        </w:tc>
        <w:tc>
          <w:tcPr>
            <w:tcW w:w="2551" w:type="dxa"/>
            <w:vAlign w:val="center"/>
          </w:tcPr>
          <w:p>
            <w:pPr>
              <w:pStyle w:val="15"/>
            </w:pPr>
            <w:r>
              <w:t>1521.88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6641.96</w:t>
            </w:r>
          </w:p>
        </w:tc>
        <w:tc>
          <w:tcPr>
            <w:tcW w:w="2551" w:type="dxa"/>
            <w:vAlign w:val="center"/>
          </w:tcPr>
          <w:p>
            <w:pPr>
              <w:pStyle w:val="11"/>
            </w:pPr>
            <w:r>
              <w:t>6641.96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1779.92</w:t>
            </w:r>
          </w:p>
        </w:tc>
        <w:tc>
          <w:tcPr>
            <w:tcW w:w="2551" w:type="dxa"/>
            <w:vAlign w:val="center"/>
          </w:tcPr>
          <w:p>
            <w:pPr>
              <w:pStyle w:val="11"/>
            </w:pPr>
            <w:r>
              <w:t>1779.92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2703.38</w:t>
            </w:r>
          </w:p>
        </w:tc>
        <w:tc>
          <w:tcPr>
            <w:tcW w:w="2551" w:type="dxa"/>
            <w:vAlign w:val="center"/>
          </w:tcPr>
          <w:p>
            <w:pPr>
              <w:pStyle w:val="11"/>
            </w:pPr>
            <w:r>
              <w:t>2703.38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117.32</w:t>
            </w:r>
          </w:p>
        </w:tc>
        <w:tc>
          <w:tcPr>
            <w:tcW w:w="2551" w:type="dxa"/>
            <w:vAlign w:val="center"/>
          </w:tcPr>
          <w:p>
            <w:pPr>
              <w:pStyle w:val="11"/>
            </w:pPr>
            <w:r>
              <w:t>117.32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87.80</w:t>
            </w:r>
          </w:p>
        </w:tc>
        <w:tc>
          <w:tcPr>
            <w:tcW w:w="2551" w:type="dxa"/>
            <w:vAlign w:val="center"/>
          </w:tcPr>
          <w:p>
            <w:pPr>
              <w:pStyle w:val="11"/>
            </w:pPr>
            <w:r>
              <w:t>87.80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572.45</w:t>
            </w:r>
          </w:p>
        </w:tc>
        <w:tc>
          <w:tcPr>
            <w:tcW w:w="2551" w:type="dxa"/>
            <w:vAlign w:val="center"/>
          </w:tcPr>
          <w:p>
            <w:pPr>
              <w:pStyle w:val="11"/>
            </w:pPr>
            <w:r>
              <w:t>572.45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287.26</w:t>
            </w:r>
          </w:p>
        </w:tc>
        <w:tc>
          <w:tcPr>
            <w:tcW w:w="2551" w:type="dxa"/>
            <w:vAlign w:val="center"/>
          </w:tcPr>
          <w:p>
            <w:pPr>
              <w:pStyle w:val="11"/>
            </w:pPr>
            <w:r>
              <w:t>287.26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212.84</w:t>
            </w:r>
          </w:p>
        </w:tc>
        <w:tc>
          <w:tcPr>
            <w:tcW w:w="2551" w:type="dxa"/>
            <w:vAlign w:val="center"/>
          </w:tcPr>
          <w:p>
            <w:pPr>
              <w:pStyle w:val="11"/>
            </w:pPr>
            <w:r>
              <w:t>212.84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254.13</w:t>
            </w:r>
          </w:p>
        </w:tc>
        <w:tc>
          <w:tcPr>
            <w:tcW w:w="2551" w:type="dxa"/>
            <w:vAlign w:val="center"/>
          </w:tcPr>
          <w:p>
            <w:pPr>
              <w:pStyle w:val="11"/>
            </w:pPr>
            <w:r>
              <w:t>254.13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32.51</w:t>
            </w:r>
          </w:p>
        </w:tc>
        <w:tc>
          <w:tcPr>
            <w:tcW w:w="2551" w:type="dxa"/>
            <w:vAlign w:val="center"/>
          </w:tcPr>
          <w:p>
            <w:pPr>
              <w:pStyle w:val="11"/>
            </w:pPr>
            <w:r>
              <w:t>32.51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405.95</w:t>
            </w:r>
          </w:p>
        </w:tc>
        <w:tc>
          <w:tcPr>
            <w:tcW w:w="2551" w:type="dxa"/>
            <w:vAlign w:val="center"/>
          </w:tcPr>
          <w:p>
            <w:pPr>
              <w:pStyle w:val="11"/>
            </w:pPr>
            <w:r>
              <w:t>405.95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188.40</w:t>
            </w:r>
          </w:p>
        </w:tc>
        <w:tc>
          <w:tcPr>
            <w:tcW w:w="2551" w:type="dxa"/>
            <w:vAlign w:val="center"/>
          </w:tcPr>
          <w:p>
            <w:pPr>
              <w:pStyle w:val="11"/>
            </w:pPr>
            <w:r>
              <w:t>188.40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1501.51</w:t>
            </w:r>
          </w:p>
        </w:tc>
        <w:tc>
          <w:tcPr>
            <w:tcW w:w="2551" w:type="dxa"/>
            <w:vAlign w:val="center"/>
          </w:tcPr>
          <w:p>
            <w:pPr>
              <w:pStyle w:val="11"/>
            </w:pPr>
          </w:p>
        </w:tc>
        <w:tc>
          <w:tcPr>
            <w:tcW w:w="2551" w:type="dxa"/>
            <w:vAlign w:val="center"/>
          </w:tcPr>
          <w:p>
            <w:pPr>
              <w:pStyle w:val="11"/>
            </w:pPr>
            <w:r>
              <w:t>1501.51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80.63</w:t>
            </w:r>
          </w:p>
        </w:tc>
        <w:tc>
          <w:tcPr>
            <w:tcW w:w="2551" w:type="dxa"/>
            <w:vAlign w:val="center"/>
          </w:tcPr>
          <w:p>
            <w:pPr>
              <w:pStyle w:val="11"/>
            </w:pPr>
          </w:p>
        </w:tc>
        <w:tc>
          <w:tcPr>
            <w:tcW w:w="2551" w:type="dxa"/>
            <w:vAlign w:val="center"/>
          </w:tcPr>
          <w:p>
            <w:pPr>
              <w:pStyle w:val="11"/>
            </w:pPr>
            <w:r>
              <w:t>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28.00</w:t>
            </w:r>
          </w:p>
        </w:tc>
        <w:tc>
          <w:tcPr>
            <w:tcW w:w="2551" w:type="dxa"/>
            <w:vAlign w:val="center"/>
          </w:tcPr>
          <w:p>
            <w:pPr>
              <w:pStyle w:val="11"/>
            </w:pPr>
          </w:p>
        </w:tc>
        <w:tc>
          <w:tcPr>
            <w:tcW w:w="2551"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98.00</w:t>
            </w:r>
          </w:p>
        </w:tc>
        <w:tc>
          <w:tcPr>
            <w:tcW w:w="2551" w:type="dxa"/>
            <w:vAlign w:val="center"/>
          </w:tcPr>
          <w:p>
            <w:pPr>
              <w:pStyle w:val="11"/>
            </w:pPr>
          </w:p>
        </w:tc>
        <w:tc>
          <w:tcPr>
            <w:tcW w:w="2551" w:type="dxa"/>
            <w:vAlign w:val="center"/>
          </w:tcPr>
          <w:p>
            <w:pPr>
              <w:pStyle w:val="11"/>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186.75</w:t>
            </w:r>
          </w:p>
        </w:tc>
        <w:tc>
          <w:tcPr>
            <w:tcW w:w="2551" w:type="dxa"/>
            <w:vAlign w:val="center"/>
          </w:tcPr>
          <w:p>
            <w:pPr>
              <w:pStyle w:val="11"/>
            </w:pPr>
          </w:p>
        </w:tc>
        <w:tc>
          <w:tcPr>
            <w:tcW w:w="2551" w:type="dxa"/>
            <w:vAlign w:val="center"/>
          </w:tcPr>
          <w:p>
            <w:pPr>
              <w:pStyle w:val="11"/>
            </w:pPr>
            <w:r>
              <w:t>186.75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53.96</w:t>
            </w:r>
          </w:p>
        </w:tc>
        <w:tc>
          <w:tcPr>
            <w:tcW w:w="2551" w:type="dxa"/>
            <w:vAlign w:val="center"/>
          </w:tcPr>
          <w:p>
            <w:pPr>
              <w:pStyle w:val="11"/>
            </w:pPr>
          </w:p>
        </w:tc>
        <w:tc>
          <w:tcPr>
            <w:tcW w:w="2551" w:type="dxa"/>
            <w:vAlign w:val="center"/>
          </w:tcPr>
          <w:p>
            <w:pPr>
              <w:pStyle w:val="11"/>
            </w:pPr>
            <w:r>
              <w:t>53.96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101.00</w:t>
            </w:r>
          </w:p>
        </w:tc>
        <w:tc>
          <w:tcPr>
            <w:tcW w:w="2551" w:type="dxa"/>
            <w:vAlign w:val="center"/>
          </w:tcPr>
          <w:p>
            <w:pPr>
              <w:pStyle w:val="11"/>
            </w:pPr>
          </w:p>
        </w:tc>
        <w:tc>
          <w:tcPr>
            <w:tcW w:w="2551" w:type="dxa"/>
            <w:vAlign w:val="center"/>
          </w:tcPr>
          <w:p>
            <w:pPr>
              <w:pStyle w:val="11"/>
            </w:pPr>
            <w:r>
              <w:t>101.00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156.74</w:t>
            </w:r>
          </w:p>
        </w:tc>
        <w:tc>
          <w:tcPr>
            <w:tcW w:w="2551" w:type="dxa"/>
            <w:vAlign w:val="center"/>
          </w:tcPr>
          <w:p>
            <w:pPr>
              <w:pStyle w:val="11"/>
            </w:pPr>
          </w:p>
        </w:tc>
        <w:tc>
          <w:tcPr>
            <w:tcW w:w="2551" w:type="dxa"/>
            <w:vAlign w:val="center"/>
          </w:tcPr>
          <w:p>
            <w:pPr>
              <w:pStyle w:val="11"/>
            </w:pPr>
            <w:r>
              <w:t>156.74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38.50</w:t>
            </w:r>
          </w:p>
        </w:tc>
        <w:tc>
          <w:tcPr>
            <w:tcW w:w="2551" w:type="dxa"/>
            <w:vAlign w:val="center"/>
          </w:tcPr>
          <w:p>
            <w:pPr>
              <w:pStyle w:val="11"/>
            </w:pPr>
          </w:p>
        </w:tc>
        <w:tc>
          <w:tcPr>
            <w:tcW w:w="2551" w:type="dxa"/>
            <w:vAlign w:val="center"/>
          </w:tcPr>
          <w:p>
            <w:pPr>
              <w:pStyle w:val="11"/>
            </w:pPr>
            <w:r>
              <w:t>38.50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26.00</w:t>
            </w:r>
          </w:p>
        </w:tc>
        <w:tc>
          <w:tcPr>
            <w:tcW w:w="2551" w:type="dxa"/>
            <w:vAlign w:val="center"/>
          </w:tcPr>
          <w:p>
            <w:pPr>
              <w:pStyle w:val="11"/>
            </w:pPr>
          </w:p>
        </w:tc>
        <w:tc>
          <w:tcPr>
            <w:tcW w:w="2551"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7.54</w:t>
            </w:r>
          </w:p>
        </w:tc>
        <w:tc>
          <w:tcPr>
            <w:tcW w:w="2551" w:type="dxa"/>
            <w:vAlign w:val="center"/>
          </w:tcPr>
          <w:p>
            <w:pPr>
              <w:pStyle w:val="11"/>
            </w:pPr>
          </w:p>
        </w:tc>
        <w:tc>
          <w:tcPr>
            <w:tcW w:w="2551" w:type="dxa"/>
            <w:vAlign w:val="center"/>
          </w:tcPr>
          <w:p>
            <w:pPr>
              <w:pStyle w:val="11"/>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54.50</w:t>
            </w:r>
          </w:p>
        </w:tc>
        <w:tc>
          <w:tcPr>
            <w:tcW w:w="2551" w:type="dxa"/>
            <w:vAlign w:val="center"/>
          </w:tcPr>
          <w:p>
            <w:pPr>
              <w:pStyle w:val="11"/>
            </w:pPr>
          </w:p>
        </w:tc>
        <w:tc>
          <w:tcPr>
            <w:tcW w:w="2551" w:type="dxa"/>
            <w:vAlign w:val="center"/>
          </w:tcPr>
          <w:p>
            <w:pPr>
              <w:pStyle w:val="11"/>
            </w:pPr>
            <w:r>
              <w:t>54.50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47.00</w:t>
            </w:r>
          </w:p>
        </w:tc>
        <w:tc>
          <w:tcPr>
            <w:tcW w:w="2551" w:type="dxa"/>
            <w:vAlign w:val="center"/>
          </w:tcPr>
          <w:p>
            <w:pPr>
              <w:pStyle w:val="11"/>
            </w:pPr>
          </w:p>
        </w:tc>
        <w:tc>
          <w:tcPr>
            <w:tcW w:w="2551" w:type="dxa"/>
            <w:vAlign w:val="center"/>
          </w:tcPr>
          <w:p>
            <w:pPr>
              <w:pStyle w:val="11"/>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54.13</w:t>
            </w:r>
          </w:p>
        </w:tc>
        <w:tc>
          <w:tcPr>
            <w:tcW w:w="2551" w:type="dxa"/>
            <w:vAlign w:val="center"/>
          </w:tcPr>
          <w:p>
            <w:pPr>
              <w:pStyle w:val="11"/>
            </w:pPr>
          </w:p>
        </w:tc>
        <w:tc>
          <w:tcPr>
            <w:tcW w:w="2551" w:type="dxa"/>
            <w:vAlign w:val="center"/>
          </w:tcPr>
          <w:p>
            <w:pPr>
              <w:pStyle w:val="11"/>
            </w:pPr>
            <w:r>
              <w:t>54.13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41.36</w:t>
            </w:r>
          </w:p>
        </w:tc>
        <w:tc>
          <w:tcPr>
            <w:tcW w:w="2551" w:type="dxa"/>
            <w:vAlign w:val="center"/>
          </w:tcPr>
          <w:p>
            <w:pPr>
              <w:pStyle w:val="11"/>
            </w:pPr>
          </w:p>
        </w:tc>
        <w:tc>
          <w:tcPr>
            <w:tcW w:w="2551" w:type="dxa"/>
            <w:vAlign w:val="center"/>
          </w:tcPr>
          <w:p>
            <w:pPr>
              <w:pStyle w:val="11"/>
            </w:pPr>
            <w:r>
              <w:t>41.36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61.20</w:t>
            </w:r>
          </w:p>
        </w:tc>
        <w:tc>
          <w:tcPr>
            <w:tcW w:w="2551" w:type="dxa"/>
            <w:vAlign w:val="center"/>
          </w:tcPr>
          <w:p>
            <w:pPr>
              <w:pStyle w:val="11"/>
            </w:pPr>
          </w:p>
        </w:tc>
        <w:tc>
          <w:tcPr>
            <w:tcW w:w="2551" w:type="dxa"/>
            <w:vAlign w:val="center"/>
          </w:tcPr>
          <w:p>
            <w:pPr>
              <w:pStyle w:val="11"/>
            </w:pPr>
            <w:r>
              <w:t>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311.20</w:t>
            </w:r>
          </w:p>
        </w:tc>
        <w:tc>
          <w:tcPr>
            <w:tcW w:w="2551" w:type="dxa"/>
            <w:vAlign w:val="center"/>
          </w:tcPr>
          <w:p>
            <w:pPr>
              <w:pStyle w:val="11"/>
            </w:pPr>
          </w:p>
        </w:tc>
        <w:tc>
          <w:tcPr>
            <w:tcW w:w="2551" w:type="dxa"/>
            <w:vAlign w:val="center"/>
          </w:tcPr>
          <w:p>
            <w:pPr>
              <w:pStyle w:val="11"/>
            </w:pPr>
            <w:r>
              <w:t>311.20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123.90</w:t>
            </w:r>
          </w:p>
        </w:tc>
        <w:tc>
          <w:tcPr>
            <w:tcW w:w="2551" w:type="dxa"/>
            <w:vAlign w:val="center"/>
          </w:tcPr>
          <w:p>
            <w:pPr>
              <w:pStyle w:val="11"/>
            </w:pPr>
          </w:p>
        </w:tc>
        <w:tc>
          <w:tcPr>
            <w:tcW w:w="2551" w:type="dxa"/>
            <w:vAlign w:val="center"/>
          </w:tcPr>
          <w:p>
            <w:pPr>
              <w:pStyle w:val="11"/>
            </w:pPr>
            <w:r>
              <w:t>123.90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641.45</w:t>
            </w:r>
          </w:p>
        </w:tc>
        <w:tc>
          <w:tcPr>
            <w:tcW w:w="2551" w:type="dxa"/>
            <w:vAlign w:val="center"/>
          </w:tcPr>
          <w:p>
            <w:pPr>
              <w:pStyle w:val="11"/>
            </w:pPr>
            <w:r>
              <w:t>641.45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19.64</w:t>
            </w:r>
          </w:p>
        </w:tc>
        <w:tc>
          <w:tcPr>
            <w:tcW w:w="2551" w:type="dxa"/>
            <w:vAlign w:val="center"/>
          </w:tcPr>
          <w:p>
            <w:pPr>
              <w:pStyle w:val="11"/>
            </w:pPr>
            <w:r>
              <w:t>19.64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619.28</w:t>
            </w:r>
          </w:p>
        </w:tc>
        <w:tc>
          <w:tcPr>
            <w:tcW w:w="2551" w:type="dxa"/>
            <w:vAlign w:val="center"/>
          </w:tcPr>
          <w:p>
            <w:pPr>
              <w:pStyle w:val="11"/>
            </w:pPr>
            <w:r>
              <w:t>619.28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1.84</w:t>
            </w:r>
          </w:p>
        </w:tc>
        <w:tc>
          <w:tcPr>
            <w:tcW w:w="2551" w:type="dxa"/>
            <w:vAlign w:val="center"/>
          </w:tcPr>
          <w:p>
            <w:pPr>
              <w:pStyle w:val="11"/>
            </w:pPr>
            <w:r>
              <w:t>1.84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0.69</w:t>
            </w:r>
          </w:p>
        </w:tc>
        <w:tc>
          <w:tcPr>
            <w:tcW w:w="2551" w:type="dxa"/>
            <w:vAlign w:val="center"/>
          </w:tcPr>
          <w:p>
            <w:pPr>
              <w:pStyle w:val="11"/>
            </w:pPr>
            <w:r>
              <w:t>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20.37</w:t>
            </w:r>
          </w:p>
        </w:tc>
        <w:tc>
          <w:tcPr>
            <w:tcW w:w="2551" w:type="dxa"/>
            <w:vAlign w:val="center"/>
          </w:tcPr>
          <w:p>
            <w:pPr>
              <w:pStyle w:val="11"/>
            </w:pPr>
          </w:p>
        </w:tc>
        <w:tc>
          <w:tcPr>
            <w:tcW w:w="2551" w:type="dxa"/>
            <w:vAlign w:val="center"/>
          </w:tcPr>
          <w:p>
            <w:pPr>
              <w:pStyle w:val="11"/>
            </w:pPr>
            <w:r>
              <w:t>20.37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20.37</w:t>
            </w:r>
          </w:p>
        </w:tc>
        <w:tc>
          <w:tcPr>
            <w:tcW w:w="2551" w:type="dxa"/>
            <w:vAlign w:val="center"/>
          </w:tcPr>
          <w:p>
            <w:pPr>
              <w:pStyle w:val="11"/>
            </w:pPr>
          </w:p>
        </w:tc>
        <w:tc>
          <w:tcPr>
            <w:tcW w:w="2551" w:type="dxa"/>
            <w:vAlign w:val="center"/>
          </w:tcPr>
          <w:p>
            <w:pPr>
              <w:pStyle w:val="11"/>
            </w:pPr>
            <w:r>
              <w:t>20.37</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w:t>
      </w:r>
      <w:r>
        <w:rPr>
          <w:rFonts w:hint="eastAsia" w:ascii="方正小标宋_GBK" w:hAnsi="方正小标宋_GBK" w:eastAsia="方正小标宋_GBK" w:cs="方正小标宋_GBK"/>
          <w:color w:val="000000"/>
          <w:sz w:val="36"/>
          <w:lang w:val="en-US" w:eastAsia="zh-CN"/>
        </w:rPr>
        <w:t>性</w:t>
      </w:r>
      <w:r>
        <w:rPr>
          <w:rFonts w:ascii="方正小标宋_GBK" w:hAnsi="方正小标宋_GBK" w:eastAsia="方正小标宋_GBK" w:cs="方正小标宋_GBK"/>
          <w:color w:val="000000"/>
          <w:sz w:val="36"/>
        </w:rPr>
        <w:t>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319河北省审计厅</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val="en-US" w:eastAsia="zh-CN"/>
        </w:rPr>
        <w:t>性</w:t>
      </w:r>
      <w:r>
        <w:rPr>
          <w:rFonts w:ascii="方正书宋_GBK" w:hAnsi="方正书宋_GBK" w:eastAsia="方正书宋_GBK" w:cs="方正书宋_GBK"/>
          <w:color w:val="000000"/>
          <w:sz w:val="21"/>
        </w:rPr>
        <w:t>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319河北省审计厅</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319河北省审计厅</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88.74</w:t>
            </w:r>
          </w:p>
        </w:tc>
        <w:tc>
          <w:tcPr>
            <w:tcW w:w="2381" w:type="dxa"/>
            <w:vAlign w:val="center"/>
          </w:tcPr>
          <w:p>
            <w:pPr>
              <w:pStyle w:val="15"/>
            </w:pPr>
            <w:r>
              <w:t>88.74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r>
              <w:t>20.00</w:t>
            </w:r>
          </w:p>
        </w:tc>
        <w:tc>
          <w:tcPr>
            <w:tcW w:w="2381" w:type="dxa"/>
            <w:vAlign w:val="center"/>
          </w:tcPr>
          <w:p>
            <w:pPr>
              <w:pStyle w:val="11"/>
            </w:pPr>
            <w:r>
              <w:t>20.00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61.20</w:t>
            </w:r>
          </w:p>
        </w:tc>
        <w:tc>
          <w:tcPr>
            <w:tcW w:w="2381" w:type="dxa"/>
            <w:vAlign w:val="center"/>
          </w:tcPr>
          <w:p>
            <w:pPr>
              <w:pStyle w:val="11"/>
            </w:pPr>
            <w:r>
              <w:t>61.20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61.20</w:t>
            </w:r>
          </w:p>
        </w:tc>
        <w:tc>
          <w:tcPr>
            <w:tcW w:w="2381" w:type="dxa"/>
            <w:vAlign w:val="center"/>
          </w:tcPr>
          <w:p>
            <w:pPr>
              <w:pStyle w:val="11"/>
            </w:pPr>
            <w:r>
              <w:t>61.20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r>
              <w:t>7.54</w:t>
            </w:r>
          </w:p>
        </w:tc>
        <w:tc>
          <w:tcPr>
            <w:tcW w:w="2381" w:type="dxa"/>
            <w:vAlign w:val="center"/>
          </w:tcPr>
          <w:p>
            <w:pPr>
              <w:pStyle w:val="11"/>
            </w:pPr>
            <w:r>
              <w:t>7.54</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河北省审计厅2022年部门预算信息公开情况说明</w:t>
      </w:r>
    </w:p>
    <w:p>
      <w:pPr>
        <w:jc w:val="center"/>
      </w:pPr>
      <w:r>
        <w:rPr>
          <w:rFonts w:ascii="方正小标宋_GBK" w:hAnsi="方正小标宋_GBK" w:eastAsia="方正小标宋_GBK" w:cs="方正小标宋_GBK"/>
          <w:color w:val="000000"/>
          <w:sz w:val="44"/>
        </w:rPr>
        <w:t>河北省审计厅2022年部门预算信息公开情况说明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按照《预算法》、《地方预决算公开操作规程》和《关于进一步推进预算公开工作的实施意见》规定，现将河北省审计厅2022年部门预算公开如下：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主管全省审计工作。负责对全省财政收支和依法属于审计监督范围的财务收支的真实、合法和效益进行审计监督，对公共资金、国有资产、国有资源和领导干部履行经济责任情况实行审计全覆盖，对领导干部实行自然资源资产离任审计，对国家和省委、省政府相关重大政策措施贯彻落实情况进行跟踪审计。对审计、专项审计调查和核查社会审计机构相关审计报告的结果承担责任，并负有督促被审计单位整改的责任。</w:t>
      </w:r>
    </w:p>
    <w:p>
      <w:pPr>
        <w:pStyle w:val="17"/>
      </w:pPr>
      <w:r>
        <w:t>（二）贯彻执行审计法律、法规和方针、政策，组织起草审计地方性法规、政府规章草案；制定审计规范性文件并监督执行；制定并组织实施全省审计工作发展规划和专业领域审计工作规划；制定并组织实施全省年度审计计划，审批、调整下级审计机关年度审计项目计划；参与起草财政经济及其相关的地方性法规、政府规章草案；对直接审计、调查和核查的事项依法进行审计评价，作出审计决定或提出审计建议。</w:t>
      </w:r>
    </w:p>
    <w:p>
      <w:pPr>
        <w:pStyle w:val="17"/>
      </w:pPr>
      <w:r>
        <w:t>（三）向中共河北省委审计委员会提出年度省本级预算执行和其他财政支出情况审计报告。向省长提出年度省本级预算执行和其他财政收支情况的审计结果报告。受省政府委托向省人大常委会提出省本级预算执行和其他财政收支情况的审计工作报告、审计查出问题整改情况报告。向省委、省政府报告对其他事项的审计和专项审计调查情况及结果。依法向社会公布审计结果。向被审计单位通报审计情况和审计结果。</w:t>
      </w:r>
    </w:p>
    <w:p>
      <w:pPr>
        <w:pStyle w:val="17"/>
      </w:pPr>
      <w:r>
        <w:t>（四）直接审计下列事项，出具审计报告，在法定职权范围内作出审计决定，包括国家和省有关重大政策措施贯彻落实情况；省本级预算执行情况和其他财政收支，省直各部门（含所属单位）预算执行情况、决算草案和其他财政收支；市级政府（含省财政直管县、市）预算执行情况、决算草案和其他财政收支，省级财政转移支付资金；使用省级财政资金的事业单位和社会团体的财务收支；省投资和以省投资为主的建设项目的预算执行情况和决算，省重大公共工程项目的资金管理使用和建设运营情况；自然资源管理、污染防治和生态保护与修复情况；省属国有和国有资本占控股或者主导地位的企业和金融机构境内外资产、负债和损益，省驻外非经营性机构的财务收支；有关社会保障基金、社会捐赠资金和其他基金、资金的财务收支；国际组织和外国政府援助、贷款项目；法律法规规定的其他事项。</w:t>
      </w:r>
    </w:p>
    <w:p>
      <w:pPr>
        <w:pStyle w:val="17"/>
      </w:pPr>
      <w:r>
        <w:t>（五）按规定对省管党政主要领导干部及其他单位主要负责人实施经济责任审计和自然资源资产离任审计。</w:t>
      </w:r>
    </w:p>
    <w:p>
      <w:pPr>
        <w:pStyle w:val="17"/>
      </w:pPr>
      <w:r>
        <w:t>（六）组织实施对财经法律法规、规章、政策和宏观调控措施执行情况、财政预算管理及国有资产管理使用等与财政收支有关的特定事项进行专项审计调查。</w:t>
      </w:r>
    </w:p>
    <w:p>
      <w:pPr>
        <w:pStyle w:val="17"/>
      </w:pPr>
      <w:r>
        <w:t>（七）依法检查审计决定执行情况，督促整改审计查出的问题，依法办理被审计单位对审计决定提请行政复议、行政诉讼或省政府裁决中的有关事项，协助配合有关部门查处相关重大案件。</w:t>
      </w:r>
    </w:p>
    <w:p>
      <w:pPr>
        <w:pStyle w:val="17"/>
      </w:pPr>
      <w:r>
        <w:t>（八）指导和监督内部审计工作，核查社会审计机构对依法属于审计监督对象的单位出具的相关审计报告。</w:t>
      </w:r>
    </w:p>
    <w:p>
      <w:pPr>
        <w:pStyle w:val="17"/>
      </w:pPr>
      <w:r>
        <w:t>（九）与市委、市政府（含定州、辛集市）共同领导市级审计机关。依法领导和监督下级审计机关的业务，组织下级审计机关实施特定项目的专项审计或审计调查，纠正或责成纠正下级审计机关违反国家规定作出的审计决定。按照干部管理权限协管市级审计机关负责人。</w:t>
      </w:r>
    </w:p>
    <w:p>
      <w:pPr>
        <w:pStyle w:val="17"/>
      </w:pPr>
      <w:r>
        <w:t>（十）组织开展审计领域的交流与合作，指导和推广信息技术在审计领域的应用。</w:t>
      </w:r>
    </w:p>
    <w:p>
      <w:pPr>
        <w:pStyle w:val="17"/>
        <w:rPr>
          <w:lang w:val="uk-UA" w:eastAsia="zh-CN"/>
        </w:rPr>
      </w:pPr>
      <w:r>
        <w:t>（十一）完成省委、省政府和审计署交办的其他任务。</w:t>
      </w:r>
    </w:p>
    <w:p>
      <w:pPr>
        <w:pStyle w:val="17"/>
        <w:rPr>
          <w:lang w:val="uk-UA"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河北省审计厅本级</w:t>
            </w:r>
          </w:p>
        </w:tc>
        <w:tc>
          <w:tcPr>
            <w:tcW w:w="1843" w:type="dxa"/>
            <w:vAlign w:val="center"/>
          </w:tcPr>
          <w:p>
            <w:pPr>
              <w:pStyle w:val="13"/>
            </w:pPr>
            <w:r>
              <w:t>行政</w:t>
            </w:r>
          </w:p>
        </w:tc>
        <w:tc>
          <w:tcPr>
            <w:tcW w:w="2126" w:type="dxa"/>
            <w:vAlign w:val="center"/>
          </w:tcPr>
          <w:p>
            <w:pPr>
              <w:pStyle w:val="13"/>
            </w:pPr>
            <w:r>
              <w:t>正厅（地）级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河北省公共投资审计服务中心</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河北省审计厅计算机信息审计中心</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河北省电子数据审计中心</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河北省财政审计中心</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按照预算管理有关规定，目前我省部门预算的编制实行综合预算管理，即全部收入和支出都反映在预算中。河北省审计厅机关及所属事业单位的收支包含在部门预算中。</w:t>
      </w:r>
    </w:p>
    <w:p>
      <w:pPr>
        <w:pStyle w:val="18"/>
      </w:pPr>
      <w:r>
        <w:t>1、收入说明</w:t>
      </w:r>
    </w:p>
    <w:p>
      <w:pPr>
        <w:pStyle w:val="18"/>
      </w:pPr>
      <w:r>
        <w:t>反映本部门当年全部收入。2022年预算收入13018.62万元，其中：一般公共预算收入12518.62万元，基金预算收入0.00万元，国有资本经营预算收入0.00万元，财政专户核拨收入0.00万元，单位资金收入500.00万元，上年结转结余0.00万元。</w:t>
      </w:r>
    </w:p>
    <w:p>
      <w:pPr>
        <w:pStyle w:val="18"/>
      </w:pPr>
      <w:r>
        <w:t>2、支出说明</w:t>
      </w:r>
    </w:p>
    <w:p>
      <w:pPr>
        <w:pStyle w:val="18"/>
      </w:pPr>
      <w:r>
        <w:t>收支预算总表支出栏、基本支出表、项目支出表按经济分类和支出功能分类科目编制，反映河北省审计厅年度部门预算中支出预算的总体情况。2022年支出预算13018.62万元，其中基本支出8805.29万元，包括人员经费7283.41万元和日常公用经费1521.88万元；项目支出4213.33万元，主要为审计工作专项经费等。</w:t>
      </w:r>
    </w:p>
    <w:p>
      <w:pPr>
        <w:pStyle w:val="18"/>
      </w:pPr>
      <w:r>
        <w:t>3、比上年增减情况</w:t>
      </w:r>
    </w:p>
    <w:p>
      <w:pPr>
        <w:pStyle w:val="18"/>
      </w:pPr>
      <w:r>
        <w:t>2022年预算收支安排13018.62万元，较2021年预算减少94.82万元，其中：基本支出增加1148.14万元，主要为增加人员经费支出；项目支出减少377</w:t>
      </w:r>
      <w:r>
        <w:rPr>
          <w:rFonts w:hint="eastAsia"/>
          <w:lang w:eastAsia="zh-CN"/>
        </w:rPr>
        <w:t>.00</w:t>
      </w:r>
      <w:r>
        <w:t>万元，主要为减少基建项目；上年结转安排减少865.96万元.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2022年，我部门运行经费共计安排1521.88万元，主要用于日常维修、办公用房水电费、办公用房取暖费、办公用房物业管理费等日常运行支出。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2022年，我部门财政拨款“三公”经费预算安排88.74万元，其中因公出国（境）费20</w:t>
      </w:r>
      <w:r>
        <w:rPr>
          <w:rFonts w:hint="eastAsia"/>
          <w:lang w:eastAsia="zh-CN"/>
        </w:rPr>
        <w:t>.00</w:t>
      </w:r>
      <w:r>
        <w:t>万元；公务用车购置及运维费61.2</w:t>
      </w:r>
      <w:r>
        <w:rPr>
          <w:rFonts w:hint="eastAsia"/>
          <w:lang w:eastAsia="zh-CN"/>
        </w:rPr>
        <w:t>0</w:t>
      </w:r>
      <w:r>
        <w:t>万元（其中：公务用车购置费为0.00万元，公务用车运维费61.2</w:t>
      </w:r>
      <w:r>
        <w:rPr>
          <w:rFonts w:hint="eastAsia"/>
          <w:lang w:eastAsia="zh-CN"/>
        </w:rPr>
        <w:t>0</w:t>
      </w:r>
      <w:r>
        <w:t>万元)；公务接待费7.54万元。与2021年相比减少40</w:t>
      </w:r>
      <w:r>
        <w:rPr>
          <w:rFonts w:hint="eastAsia"/>
          <w:lang w:eastAsia="zh-CN"/>
        </w:rPr>
        <w:t>.00</w:t>
      </w:r>
      <w:r>
        <w:t>万元，减少的主要原因是：因公出国（境）任务减少，因公出国（境）费减少。</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坚持以习近平新时代中国特色社会主义思想为指导，全面贯彻党的十九大和十九届二中、三中、四中、五中、六中全会精神，认真落实习近平总书记关于审计工作的重要指示批示精神，准确把握进入新发展阶段、贯彻新发展理念、构建新发展格局对审计工作提出的新任务新要求，紧紧围绕党中央、国务院重大决策部署和省委、省政府中心工作，以服务全省经济高质量发展为主题，依法全面履行审计监督职责，做好常态化“经济体检”工作，推动党中央、国务院重大决策部署落地见效，推动进一步做好“六稳”工作和落实“六保”任务，为全省“十四五”发展提供高质量的审计保障。科学合理制定2022年审计项目计划，审计项目数量达到80个以上；提出审计领域坚持党的领导、加强党的建设的政策建议，审计建议数量达到200条以上；组织研究全省审计工作2022年发展规划、重大政策和改革方案；围绕我省第十次党代会确定的加快建设“六个现代化河北”的奋斗目标，守正创新、开拓进取，依法全面履行审计职责，努力提升审计监督价值。</w:t>
      </w:r>
    </w:p>
    <w:p>
      <w:pPr>
        <w:spacing w:line="500" w:lineRule="exact"/>
        <w:ind w:firstLine="560"/>
      </w:pPr>
      <w:r>
        <w:rPr>
          <w:rFonts w:eastAsia="方正仿宋_GBK"/>
          <w:color w:val="000000"/>
          <w:sz w:val="28"/>
        </w:rPr>
        <w:t>（二）分项绩效目标</w:t>
      </w:r>
    </w:p>
    <w:p>
      <w:pPr>
        <w:pStyle w:val="22"/>
      </w:pPr>
      <w:r>
        <w:rPr>
          <w:rFonts w:hint="eastAsia" w:hAnsi="宋体"/>
        </w:rPr>
        <w:t>1、</w:t>
      </w:r>
      <w:r>
        <w:t>坚持依法审计，不断拓展审计监督的广度和深度</w:t>
      </w:r>
    </w:p>
    <w:p>
      <w:pPr>
        <w:pStyle w:val="22"/>
      </w:pPr>
      <w:r>
        <w:t>绩效目标：强化风险意识和底线思维，把审计“全覆盖”、常态化“经济体检”作为审计改革的一项重要目标进行不断深化，聚焦关键领域，加强分析研判和监测预警，做到党中央重大决策部署到哪里、国家利益延伸到哪里、公共资金运用到哪里、公权力行使到哪里、审计监督就跟进到哪里。</w:t>
      </w:r>
    </w:p>
    <w:p>
      <w:pPr>
        <w:pStyle w:val="22"/>
      </w:pPr>
      <w:r>
        <w:t>绩效指标：审计计划完成率达到100%，保障审计程序合法合规，审计通知书按时送达，审计底稿取证合规，审计报告全部征求意见，审计档案及时归档。</w:t>
      </w:r>
    </w:p>
    <w:p>
      <w:pPr>
        <w:pStyle w:val="22"/>
      </w:pPr>
      <w:r>
        <w:rPr>
          <w:rFonts w:hint="eastAsia"/>
        </w:rPr>
        <w:t>2、</w:t>
      </w:r>
      <w:r>
        <w:t>坚持政治站位，不断推进审计项目和审计组织方式“两统筹”</w:t>
      </w:r>
    </w:p>
    <w:p>
      <w:pPr>
        <w:pStyle w:val="22"/>
      </w:pPr>
      <w:r>
        <w:t>绩效目标：强化党对审计工作的领导，把思想认识和行动高度统一到习近平总书记重要讲话精神上来，统一到中央决策部署上来，树立审计工作全国“一盘棋”理念；创新审计管理方式和组织方式，推动审计项目的深度融合和“两统筹”；建立健全全省内部审计机构建设，积极构建审计机关审计与被审计单位内审自查自纠相结合的工作机制，监督内部审计职责履行情况，检查内部审计业务质量；优化资源配置，通过向社会购买服务等多种方式，合理运用内部审计和社会审计力量，形成审计监督合力。</w:t>
      </w:r>
    </w:p>
    <w:p>
      <w:pPr>
        <w:pStyle w:val="22"/>
      </w:pPr>
      <w:r>
        <w:t>绩效指标：审计项目数量达到80个以上，其中重大审计项目完成3个以上。</w:t>
      </w:r>
    </w:p>
    <w:p>
      <w:pPr>
        <w:pStyle w:val="22"/>
      </w:pPr>
      <w:r>
        <w:rPr>
          <w:rFonts w:hint="eastAsia"/>
        </w:rPr>
        <w:t>3、</w:t>
      </w:r>
      <w:r>
        <w:t>坚持创新审计监督方式方法，不断加强信息化建设</w:t>
      </w:r>
    </w:p>
    <w:p>
      <w:pPr>
        <w:pStyle w:val="22"/>
      </w:pPr>
      <w:r>
        <w:t>绩效目标：积极稳妥推进信息化建设，构建覆盖全省的审计数据系统，特别是省本级一级预算单位的联网审计工作，及时发现并纠正苗头性、倾向性问题，做到早发现、早提醒、早查处；不断完善审计信息职能，通过数字化审计方式进行“集中分析、系统研究、发现疑点、分散核实、精准定位”，实现数据的清洗、关联、存储、分析、挖掘、共享，最终进行大的数据汇聚，形成数据链，提升审计效能，防范审计风险；保障审计系统安全运行，保障联网安全通畅，分析数据存储安全、有效应用，推动河北的审计信息化建设健康发展。</w:t>
      </w:r>
    </w:p>
    <w:p>
      <w:pPr>
        <w:pStyle w:val="22"/>
      </w:pPr>
      <w:r>
        <w:t>绩效指标：软硬件建设验收合格率达到100%，系统运行无故障率达到95%以上，支持省、市、县三级联网安全通畅，完成数据审计分析模型30个以上，预算单位数据采集率达到95%以上，数据转换率达到100%，形成可视化行业1个。</w:t>
      </w:r>
    </w:p>
    <w:p>
      <w:pPr>
        <w:pStyle w:val="22"/>
      </w:pPr>
      <w:r>
        <w:rPr>
          <w:rFonts w:hint="eastAsia"/>
        </w:rPr>
        <w:t>4、</w:t>
      </w:r>
      <w:r>
        <w:t>严格落实审计整改和监督，不断完善审计成果和信息共享机制</w:t>
      </w:r>
    </w:p>
    <w:p>
      <w:pPr>
        <w:pStyle w:val="22"/>
      </w:pPr>
      <w:r>
        <w:t>绩效目标：审计成果运用是审计工作非常重要的一环。通过提炼审计工作经验、推广制度创新做法，进行经验交流和学习，促使审计机关、审计人员共同进步；通过提出或采取相关措施，推动被审计单位对审计发现的问题进行整改或进行体制、机制、制度的完善，为省委、省政府决策提供依据；建立健全审计与纪检监察、组织人事等其他监督部门的贯通协调机制，更好发挥审计成果的作用。</w:t>
      </w:r>
    </w:p>
    <w:p>
      <w:pPr>
        <w:pStyle w:val="22"/>
      </w:pPr>
      <w:r>
        <w:t>绩效指标：审计问题整改率达到85%以上，根据审计建议推动被审计单位建立健全规章制度达到50项以上，移送重大案件线索和事项的数量达到90项以上，审计科研课题完成30个以上。</w:t>
      </w:r>
    </w:p>
    <w:p>
      <w:pPr>
        <w:pStyle w:val="22"/>
      </w:pPr>
      <w:r>
        <w:rPr>
          <w:rFonts w:hint="eastAsia"/>
          <w:lang w:eastAsia="zh-CN"/>
        </w:rPr>
        <w:t>5</w:t>
      </w:r>
      <w:r>
        <w:rPr>
          <w:rFonts w:hint="eastAsia"/>
        </w:rPr>
        <w:t>、</w:t>
      </w:r>
      <w:r>
        <w:t>坚持从严从实要求，不断加大宣传培训力度，加强后勤保障</w:t>
      </w:r>
    </w:p>
    <w:p>
      <w:pPr>
        <w:pStyle w:val="22"/>
      </w:pPr>
      <w:r>
        <w:t>绩效目标：加大宣传培训力度，强化运用党的创新理论武装头脑、指导实践、推动工作；强化专业技能培训，加强人才引进和实践锻炼，不断提升审计干部队伍素质，完成审计铁军的建设任务；保障办公环境相对稳定，延续对办公用房的租用，保障正常办公条件；对办公楼进行日常维修，对空调、电梯进行日常维护，满足审计人员正常办公的需求。</w:t>
      </w:r>
    </w:p>
    <w:p>
      <w:pPr>
        <w:pStyle w:val="22"/>
      </w:pPr>
      <w:r>
        <w:t xml:space="preserve">绩效指标：全面提升审计人员素质，保障受训人员合格率达到95%以上；办公用房（租赁）的使用者满意度达到95%以上，办公楼日常维修能够满足正常办公的需求。 </w:t>
      </w:r>
    </w:p>
    <w:p>
      <w:pPr>
        <w:spacing w:line="500" w:lineRule="exact"/>
        <w:ind w:firstLine="560"/>
      </w:pPr>
      <w:r>
        <w:rPr>
          <w:rFonts w:eastAsia="方正仿宋_GBK"/>
          <w:color w:val="000000"/>
          <w:sz w:val="28"/>
        </w:rPr>
        <w:t>（三）工作保障措施</w:t>
      </w:r>
    </w:p>
    <w:p>
      <w:pPr>
        <w:pStyle w:val="23"/>
      </w:pPr>
      <w:r>
        <w:rPr>
          <w:rFonts w:hint="eastAsia"/>
        </w:rPr>
        <w:t>1、</w:t>
      </w:r>
      <w:r>
        <w:t>完善制度建设</w:t>
      </w:r>
    </w:p>
    <w:p>
      <w:pPr>
        <w:pStyle w:val="23"/>
      </w:pPr>
      <w:r>
        <w:t>始终把预算绩效工作列入年度工作计划重点，将事前评估、目标管理、运行监控、绩效评价、结果应用等有效融入预算管理的全过程。</w:t>
      </w:r>
    </w:p>
    <w:p>
      <w:pPr>
        <w:pStyle w:val="23"/>
      </w:pPr>
      <w:r>
        <w:t xml:space="preserve">由主管厅长任组长，人事教育处、办公室、法规处、审计整改监督处、计算机信息审计中心、机关党委为成员，组成预算绩效工作领导小组。根据部门职责和评价项目特点，对照预算文本和设定的绩效目标，制定预算绩效管理的具体工作方案。预算绩效工作领导小组成员按照绩效工作实施方案规定的程序和内容，对预算项目绩效目标和绩效指标的完成情况，通过核实数据、现场比对，进行绩效分析和评价，发现问题及时采取措施，明确责任主体。 </w:t>
      </w:r>
    </w:p>
    <w:p>
      <w:pPr>
        <w:pStyle w:val="23"/>
      </w:pPr>
      <w:r>
        <w:rPr>
          <w:rFonts w:hint="eastAsia"/>
        </w:rPr>
        <w:t>2、</w:t>
      </w:r>
      <w:r>
        <w:t>规范财务资产管理，加强内部监督</w:t>
      </w:r>
    </w:p>
    <w:p>
      <w:pPr>
        <w:pStyle w:val="23"/>
      </w:pPr>
      <w:r>
        <w:t>坚持“统一领导、归口负责、分级管理、责任到人”的财物管理制度，严格执行部门财务管理办法和部门资产管理暂行规定。严格报销审核程序，强化内部控制，把资产管理与绩效管理有机结合起来，实现“定项目就要抓绩效”、“有资金就要有绩效”，确保绩效与业务工作紧密衔接。在资产管理方面，设置专职资产管理员，资产购置严格执行“先有预算后支出”的规定，保证资产卡片及时录入、信息完整，定期组织资产清查和盘点，做到账实相符、账账相符。对已毁损或需报废资产严格按程序审批，将绩效管理成果落到实处。</w:t>
      </w:r>
    </w:p>
    <w:p>
      <w:pPr>
        <w:pStyle w:val="23"/>
      </w:pPr>
      <w:r>
        <w:t>对绩效运行情况、重大支出、资产处置及其他重要经济业务事项经党组研究批准后执行，年度末由内部审计指导监督处对本部门的财务收支情况进行审计，确保财政资金安全有效。</w:t>
      </w:r>
    </w:p>
    <w:p>
      <w:pPr>
        <w:pStyle w:val="23"/>
      </w:pPr>
      <w:r>
        <w:rPr>
          <w:rFonts w:hint="eastAsia"/>
        </w:rPr>
        <w:t>3、</w:t>
      </w:r>
      <w:r>
        <w:t>加强支出管理</w:t>
      </w:r>
    </w:p>
    <w:p>
      <w:pPr>
        <w:pStyle w:val="23"/>
      </w:pPr>
      <w:r>
        <w:t>优化部门预算支出结构，合理制定支出方式，及时启动预算项目，及时支付资金，加快履行政府采购程序，确保按照时间节点完成支付进度。及时下达转移支付资金，督促有关单位规范资金的使用和管理，强化内部控制制度建设，严格绩效目标考核，更好地发挥财政资金的使用效益。</w:t>
      </w:r>
    </w:p>
    <w:p>
      <w:pPr>
        <w:pStyle w:val="23"/>
      </w:pPr>
      <w:r>
        <w:rPr>
          <w:rFonts w:hint="eastAsia"/>
        </w:rPr>
        <w:t>4、</w:t>
      </w:r>
      <w:r>
        <w:t>开展部门预算绩效自评和重点项目评价工作</w:t>
      </w:r>
    </w:p>
    <w:p>
      <w:pPr>
        <w:pStyle w:val="23"/>
      </w:pPr>
      <w:r>
        <w:t>部门是项目绩效自评工作的责任主体，负责对整个自评工作的组织实施、具体安排、审查核实、总结评价。各个项目的具体承担单位（处室）是项目支出绩效的直接责任主体，要对年度内承担的预算项目进行绩效评价，按要求提交绩效评价报告。必要时聘请第三方力量，成立专门的绩效评价工作小组，制定科学规范的评价办法，对项目资金支出的经济性、效率性以及绩效目标的实现程度进行全方位评价，及时发现存在的问题，并研究解决对策。评价结果要最大程度信息公开，运用法律、经济和行政手段规范、管理和保障预算绩效工作的有序推进，做到程序规范、方法合理、结果可信。</w:t>
      </w:r>
    </w:p>
    <w:p>
      <w:pPr>
        <w:pStyle w:val="23"/>
      </w:pPr>
      <w:r>
        <w:rPr>
          <w:rFonts w:hint="eastAsia"/>
          <w:lang w:eastAsia="zh-CN"/>
        </w:rPr>
        <w:t>5</w:t>
      </w:r>
      <w:r>
        <w:rPr>
          <w:rFonts w:hint="eastAsia"/>
        </w:rPr>
        <w:t>、</w:t>
      </w:r>
      <w:r>
        <w:t>加强能力建设和宣传力度</w:t>
      </w:r>
    </w:p>
    <w:p>
      <w:pPr>
        <w:pStyle w:val="23"/>
      </w:pPr>
      <w:r>
        <w:t>通过专题培训、交流考察、集中培训、自我学习等多种形式，对绩效管理岗位上的人员进行业务培训和指导，加大预算绩效管理培训力度；注重运用互联网、自媒体等信息平台，扩大培训范围，树立绩效理念、熟悉绩效管理流程、掌握绩效评价方法、提升绩效管理能力。</w:t>
      </w:r>
    </w:p>
    <w:p>
      <w:pPr>
        <w:pStyle w:val="23"/>
      </w:pPr>
      <w:r>
        <w:t>加大绩效管理的宣传力度，宣传工作要贯穿预算绩效管理始终。将预算绩效管理的成功经验和先进做法，进行重点宣传。强化“用钱必问效，无效必问责”的绩效管理理念，使绩效评价转化为自下而上的自觉行动。</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lang w:eastAsia="zh-CN"/>
        </w:rPr>
      </w:pPr>
      <w:r>
        <w:rPr>
          <w:rFonts w:hint="eastAsia" w:ascii="方正楷体_GBK" w:hAnsi="方正楷体_GBK" w:eastAsia="方正楷体_GBK" w:cs="方正楷体_GBK"/>
          <w:color w:val="000000"/>
          <w:sz w:val="32"/>
          <w:lang w:eastAsia="zh-CN"/>
        </w:rPr>
        <w:t>无</w:t>
      </w:r>
      <w:r>
        <w:rPr>
          <w:rFonts w:hint="eastAsia" w:ascii="方正楷体_GBK" w:hAnsi="方正楷体_GBK" w:eastAsia="方正楷体_GBK" w:cs="方正楷体_GBK"/>
          <w:b/>
          <w:color w:val="000000"/>
          <w:sz w:val="32"/>
          <w:lang w:eastAsia="zh-CN"/>
        </w:rPr>
        <w:t>。</w:t>
      </w:r>
    </w:p>
    <w:p>
      <w:pPr>
        <w:pStyle w:val="24"/>
        <w:ind w:firstLine="640"/>
      </w:pPr>
      <w:r>
        <w:rPr>
          <w:rFonts w:ascii="方正楷体_GBK" w:hAnsi="方正楷体_GBK" w:eastAsia="方正楷体_GBK" w:cs="方正楷体_GBK"/>
          <w:b/>
          <w:color w:val="000000"/>
          <w:sz w:val="32"/>
        </w:rPr>
        <w:t>第三部分  预算项目绩效目标</w:t>
      </w:r>
    </w:p>
    <w:p>
      <w:pPr>
        <w:pStyle w:val="24"/>
        <w:ind w:firstLine="560"/>
      </w:pPr>
      <w:r>
        <w:rPr>
          <w:rFonts w:ascii="方正仿宋_GBK" w:hAnsi="方正仿宋_GBK" w:eastAsia="方正仿宋_GBK" w:cs="方正仿宋_GBK"/>
          <w:b/>
          <w:color w:val="000000"/>
          <w:sz w:val="28"/>
        </w:rPr>
        <w:t>1、办公楼运行维护经费绩效目标表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1.对老化的房屋设施进行维修，保障办公楼安全使用。</w:t>
            </w:r>
          </w:p>
          <w:p>
            <w:pPr>
              <w:pStyle w:val="26"/>
            </w:pPr>
            <w:r>
              <w:t>2.对办公楼的空调、电梯等设备设施进行维护，保障办公楼正常运转。</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维保电梯数量</w:t>
            </w:r>
          </w:p>
        </w:tc>
        <w:tc>
          <w:tcPr>
            <w:tcW w:w="2835" w:type="dxa"/>
            <w:vAlign w:val="center"/>
          </w:tcPr>
          <w:p>
            <w:pPr>
              <w:pStyle w:val="26"/>
            </w:pPr>
            <w:r>
              <w:t>维修、保养电梯的数量</w:t>
            </w:r>
          </w:p>
        </w:tc>
        <w:tc>
          <w:tcPr>
            <w:tcW w:w="2551" w:type="dxa"/>
            <w:vAlign w:val="center"/>
          </w:tcPr>
          <w:p>
            <w:pPr>
              <w:pStyle w:val="26"/>
            </w:pPr>
            <w:r>
              <w:t>4部</w:t>
            </w:r>
          </w:p>
        </w:tc>
        <w:tc>
          <w:tcPr>
            <w:tcW w:w="2268" w:type="dxa"/>
            <w:vAlign w:val="center"/>
          </w:tcPr>
          <w:p>
            <w:pPr>
              <w:pStyle w:val="26"/>
            </w:pPr>
            <w:r>
              <w:t>电梯维护保养协议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维保中央空调数量</w:t>
            </w:r>
          </w:p>
        </w:tc>
        <w:tc>
          <w:tcPr>
            <w:tcW w:w="2835" w:type="dxa"/>
            <w:vAlign w:val="center"/>
          </w:tcPr>
          <w:p>
            <w:pPr>
              <w:pStyle w:val="26"/>
            </w:pPr>
            <w:r>
              <w:t>维修、保养中央空调的数量</w:t>
            </w:r>
          </w:p>
        </w:tc>
        <w:tc>
          <w:tcPr>
            <w:tcW w:w="2551" w:type="dxa"/>
            <w:vAlign w:val="center"/>
          </w:tcPr>
          <w:p>
            <w:pPr>
              <w:pStyle w:val="26"/>
            </w:pPr>
            <w:r>
              <w:t>3组</w:t>
            </w:r>
          </w:p>
        </w:tc>
        <w:tc>
          <w:tcPr>
            <w:tcW w:w="2268" w:type="dxa"/>
            <w:vAlign w:val="center"/>
          </w:tcPr>
          <w:p>
            <w:pPr>
              <w:pStyle w:val="26"/>
            </w:pPr>
            <w:r>
              <w:t>中央空调维护保养协议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办公楼修复后恢复情况</w:t>
            </w:r>
          </w:p>
        </w:tc>
        <w:tc>
          <w:tcPr>
            <w:tcW w:w="2835" w:type="dxa"/>
            <w:vAlign w:val="center"/>
          </w:tcPr>
          <w:p>
            <w:pPr>
              <w:pStyle w:val="26"/>
            </w:pPr>
            <w:r>
              <w:t>办公楼上下水管道、卫生间设施、部分墙面等设施修复后的情况</w:t>
            </w:r>
          </w:p>
        </w:tc>
        <w:tc>
          <w:tcPr>
            <w:tcW w:w="2551" w:type="dxa"/>
            <w:vAlign w:val="center"/>
          </w:tcPr>
          <w:p>
            <w:pPr>
              <w:pStyle w:val="26"/>
            </w:pPr>
            <w:r>
              <w:t>能满足正常办公需求</w:t>
            </w:r>
          </w:p>
        </w:tc>
        <w:tc>
          <w:tcPr>
            <w:tcW w:w="2268" w:type="dxa"/>
            <w:vAlign w:val="center"/>
          </w:tcPr>
          <w:p>
            <w:pPr>
              <w:pStyle w:val="26"/>
            </w:pPr>
            <w:r>
              <w:t>维修合同/协议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维修的响应时间</w:t>
            </w:r>
          </w:p>
        </w:tc>
        <w:tc>
          <w:tcPr>
            <w:tcW w:w="2835" w:type="dxa"/>
            <w:vAlign w:val="center"/>
          </w:tcPr>
          <w:p>
            <w:pPr>
              <w:pStyle w:val="26"/>
            </w:pPr>
            <w:r>
              <w:t>反映设备、房屋维修是否及时</w:t>
            </w:r>
          </w:p>
        </w:tc>
        <w:tc>
          <w:tcPr>
            <w:tcW w:w="2551" w:type="dxa"/>
            <w:vAlign w:val="center"/>
          </w:tcPr>
          <w:p>
            <w:pPr>
              <w:pStyle w:val="26"/>
            </w:pPr>
            <w:r>
              <w:t>≤1小时</w:t>
            </w:r>
          </w:p>
        </w:tc>
        <w:tc>
          <w:tcPr>
            <w:tcW w:w="2268" w:type="dxa"/>
            <w:vAlign w:val="center"/>
          </w:tcPr>
          <w:p>
            <w:pPr>
              <w:pStyle w:val="26"/>
            </w:pPr>
            <w:r>
              <w:t>维修合同/协议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按期完成率</w:t>
            </w:r>
          </w:p>
        </w:tc>
        <w:tc>
          <w:tcPr>
            <w:tcW w:w="2835" w:type="dxa"/>
            <w:vAlign w:val="center"/>
          </w:tcPr>
          <w:p>
            <w:pPr>
              <w:pStyle w:val="26"/>
            </w:pPr>
            <w:r>
              <w:t>项目按期完成率</w:t>
            </w:r>
          </w:p>
        </w:tc>
        <w:tc>
          <w:tcPr>
            <w:tcW w:w="2551" w:type="dxa"/>
            <w:vAlign w:val="center"/>
          </w:tcPr>
          <w:p>
            <w:pPr>
              <w:pStyle w:val="26"/>
            </w:pPr>
            <w:r>
              <w:t>≥95%</w:t>
            </w:r>
          </w:p>
        </w:tc>
        <w:tc>
          <w:tcPr>
            <w:tcW w:w="2268" w:type="dxa"/>
            <w:vAlign w:val="center"/>
          </w:tcPr>
          <w:p>
            <w:pPr>
              <w:pStyle w:val="26"/>
            </w:pPr>
            <w:r>
              <w:t>维修合同/协议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控制财政经费支持规模</w:t>
            </w:r>
          </w:p>
        </w:tc>
        <w:tc>
          <w:tcPr>
            <w:tcW w:w="2551" w:type="dxa"/>
            <w:vAlign w:val="center"/>
          </w:tcPr>
          <w:p>
            <w:pPr>
              <w:pStyle w:val="26"/>
            </w:pPr>
            <w:r>
              <w:t>≤59.54万元</w:t>
            </w:r>
          </w:p>
        </w:tc>
        <w:tc>
          <w:tcPr>
            <w:tcW w:w="2268" w:type="dxa"/>
            <w:vAlign w:val="center"/>
          </w:tcPr>
          <w:p>
            <w:pPr>
              <w:pStyle w:val="2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满足正常办公需求</w:t>
            </w:r>
          </w:p>
        </w:tc>
        <w:tc>
          <w:tcPr>
            <w:tcW w:w="2835" w:type="dxa"/>
            <w:vAlign w:val="center"/>
          </w:tcPr>
          <w:p>
            <w:pPr>
              <w:pStyle w:val="26"/>
            </w:pPr>
            <w:r>
              <w:t>反映能否满足正常办公需求</w:t>
            </w:r>
          </w:p>
        </w:tc>
        <w:tc>
          <w:tcPr>
            <w:tcW w:w="2551" w:type="dxa"/>
            <w:vAlign w:val="center"/>
          </w:tcPr>
          <w:p>
            <w:pPr>
              <w:pStyle w:val="26"/>
            </w:pPr>
            <w:r>
              <w:t>能满足正常办公需求</w:t>
            </w:r>
          </w:p>
        </w:tc>
        <w:tc>
          <w:tcPr>
            <w:tcW w:w="2268" w:type="dxa"/>
            <w:vAlign w:val="center"/>
          </w:tcPr>
          <w:p>
            <w:pPr>
              <w:pStyle w:val="26"/>
            </w:pPr>
            <w:r>
              <w:t>维修合同/协议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保障服务时间</w:t>
            </w:r>
          </w:p>
        </w:tc>
        <w:tc>
          <w:tcPr>
            <w:tcW w:w="2835" w:type="dxa"/>
            <w:vAlign w:val="center"/>
          </w:tcPr>
          <w:p>
            <w:pPr>
              <w:pStyle w:val="26"/>
            </w:pPr>
            <w:r>
              <w:t>保障服务时间</w:t>
            </w:r>
          </w:p>
        </w:tc>
        <w:tc>
          <w:tcPr>
            <w:tcW w:w="2551" w:type="dxa"/>
            <w:vAlign w:val="center"/>
          </w:tcPr>
          <w:p>
            <w:pPr>
              <w:pStyle w:val="26"/>
            </w:pPr>
            <w:r>
              <w:t>1年</w:t>
            </w:r>
          </w:p>
        </w:tc>
        <w:tc>
          <w:tcPr>
            <w:tcW w:w="2268" w:type="dxa"/>
            <w:vAlign w:val="center"/>
          </w:tcPr>
          <w:p>
            <w:pPr>
              <w:pStyle w:val="26"/>
            </w:pPr>
            <w:r>
              <w:t>维修合同/协议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使用者满意度</w:t>
            </w:r>
          </w:p>
        </w:tc>
        <w:tc>
          <w:tcPr>
            <w:tcW w:w="2835" w:type="dxa"/>
            <w:vAlign w:val="center"/>
          </w:tcPr>
          <w:p>
            <w:pPr>
              <w:pStyle w:val="26"/>
            </w:pPr>
            <w:r>
              <w:t>办公楼使用者满意度</w:t>
            </w:r>
          </w:p>
        </w:tc>
        <w:tc>
          <w:tcPr>
            <w:tcW w:w="2551" w:type="dxa"/>
            <w:vAlign w:val="center"/>
          </w:tcPr>
          <w:p>
            <w:pPr>
              <w:pStyle w:val="26"/>
            </w:pPr>
            <w:r>
              <w:t>≥95%</w:t>
            </w:r>
          </w:p>
        </w:tc>
        <w:tc>
          <w:tcPr>
            <w:tcW w:w="2268" w:type="dxa"/>
            <w:vAlign w:val="center"/>
          </w:tcPr>
          <w:p>
            <w:pPr>
              <w:pStyle w:val="26"/>
            </w:pPr>
            <w:r>
              <w:t>满意度测评表</w:t>
            </w:r>
          </w:p>
        </w:tc>
      </w:tr>
    </w:tbl>
    <w:p>
      <w:pPr>
        <w:pStyle w:val="24"/>
      </w:pPr>
    </w:p>
    <w:p>
      <w:pPr>
        <w:pStyle w:val="24"/>
        <w:ind w:firstLine="560"/>
      </w:pPr>
      <w:r>
        <w:rPr>
          <w:rFonts w:ascii="方正仿宋_GBK" w:hAnsi="方正仿宋_GBK" w:eastAsia="方正仿宋_GBK" w:cs="方正仿宋_GBK"/>
          <w:b/>
          <w:color w:val="000000"/>
          <w:sz w:val="28"/>
        </w:rPr>
        <w:t>2、办公用房租金绩效目标表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1.租用办公用房，保障人员正常办公。</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租用办公用房面积</w:t>
            </w:r>
          </w:p>
        </w:tc>
        <w:tc>
          <w:tcPr>
            <w:tcW w:w="2835" w:type="dxa"/>
            <w:vAlign w:val="center"/>
          </w:tcPr>
          <w:p>
            <w:pPr>
              <w:pStyle w:val="26"/>
            </w:pPr>
            <w:r>
              <w:t>反映租赁办公用房的面积</w:t>
            </w:r>
          </w:p>
        </w:tc>
        <w:tc>
          <w:tcPr>
            <w:tcW w:w="2551" w:type="dxa"/>
            <w:vAlign w:val="center"/>
          </w:tcPr>
          <w:p>
            <w:pPr>
              <w:pStyle w:val="26"/>
            </w:pPr>
            <w:r>
              <w:t>≤913平方米</w:t>
            </w:r>
          </w:p>
        </w:tc>
        <w:tc>
          <w:tcPr>
            <w:tcW w:w="2268" w:type="dxa"/>
            <w:vAlign w:val="center"/>
          </w:tcPr>
          <w:p>
            <w:pPr>
              <w:pStyle w:val="26"/>
            </w:pPr>
            <w: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6"/>
            </w:pPr>
            <w:r>
              <w:t>数量指标</w:t>
            </w:r>
          </w:p>
        </w:tc>
        <w:tc>
          <w:tcPr>
            <w:tcW w:w="2835" w:type="dxa"/>
            <w:vAlign w:val="center"/>
          </w:tcPr>
          <w:p>
            <w:pPr>
              <w:pStyle w:val="26"/>
            </w:pPr>
            <w:r>
              <w:t>保障办公人员数量</w:t>
            </w:r>
          </w:p>
        </w:tc>
        <w:tc>
          <w:tcPr>
            <w:tcW w:w="2835" w:type="dxa"/>
            <w:vAlign w:val="center"/>
          </w:tcPr>
          <w:p>
            <w:pPr>
              <w:pStyle w:val="26"/>
            </w:pPr>
            <w:r>
              <w:t>反映租用办公用房的使用人数</w:t>
            </w:r>
          </w:p>
        </w:tc>
        <w:tc>
          <w:tcPr>
            <w:tcW w:w="2551" w:type="dxa"/>
            <w:vAlign w:val="center"/>
          </w:tcPr>
          <w:p>
            <w:pPr>
              <w:pStyle w:val="26"/>
            </w:pPr>
            <w:r>
              <w:t>54人</w:t>
            </w:r>
          </w:p>
        </w:tc>
        <w:tc>
          <w:tcPr>
            <w:tcW w:w="2268" w:type="dxa"/>
            <w:vAlign w:val="center"/>
          </w:tcPr>
          <w:p>
            <w:pPr>
              <w:pStyle w:val="26"/>
            </w:pPr>
            <w: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6"/>
            </w:pPr>
            <w:r>
              <w:t>质量指标</w:t>
            </w:r>
          </w:p>
        </w:tc>
        <w:tc>
          <w:tcPr>
            <w:tcW w:w="2835" w:type="dxa"/>
            <w:vAlign w:val="center"/>
          </w:tcPr>
          <w:p>
            <w:pPr>
              <w:pStyle w:val="26"/>
            </w:pPr>
            <w:r>
              <w:t>租用协议书的合法合规性</w:t>
            </w:r>
          </w:p>
        </w:tc>
        <w:tc>
          <w:tcPr>
            <w:tcW w:w="2835" w:type="dxa"/>
            <w:vAlign w:val="center"/>
          </w:tcPr>
          <w:p>
            <w:pPr>
              <w:pStyle w:val="26"/>
            </w:pPr>
            <w:r>
              <w:t>反映租用协议书是否合法、合规</w:t>
            </w:r>
          </w:p>
        </w:tc>
        <w:tc>
          <w:tcPr>
            <w:tcW w:w="2551" w:type="dxa"/>
            <w:vAlign w:val="center"/>
          </w:tcPr>
          <w:p>
            <w:pPr>
              <w:pStyle w:val="26"/>
            </w:pPr>
            <w:r>
              <w:t>办公用房租赁协议合法合规</w:t>
            </w:r>
          </w:p>
        </w:tc>
        <w:tc>
          <w:tcPr>
            <w:tcW w:w="2268" w:type="dxa"/>
            <w:vAlign w:val="center"/>
          </w:tcPr>
          <w:p>
            <w:pPr>
              <w:pStyle w:val="26"/>
            </w:pPr>
            <w: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6"/>
            </w:pPr>
            <w:r>
              <w:t>质量指标</w:t>
            </w:r>
          </w:p>
        </w:tc>
        <w:tc>
          <w:tcPr>
            <w:tcW w:w="2835" w:type="dxa"/>
            <w:vAlign w:val="center"/>
          </w:tcPr>
          <w:p>
            <w:pPr>
              <w:pStyle w:val="26"/>
            </w:pPr>
            <w:r>
              <w:t>租赁办公用房质量情况</w:t>
            </w:r>
          </w:p>
        </w:tc>
        <w:tc>
          <w:tcPr>
            <w:tcW w:w="2835" w:type="dxa"/>
            <w:vAlign w:val="center"/>
          </w:tcPr>
          <w:p>
            <w:pPr>
              <w:pStyle w:val="26"/>
            </w:pPr>
            <w:r>
              <w:t>办公用房内各项设施齐全，运转正常</w:t>
            </w:r>
          </w:p>
        </w:tc>
        <w:tc>
          <w:tcPr>
            <w:tcW w:w="2551" w:type="dxa"/>
            <w:vAlign w:val="center"/>
          </w:tcPr>
          <w:p>
            <w:pPr>
              <w:pStyle w:val="26"/>
            </w:pPr>
            <w:r>
              <w:t>设施齐全，正常运转</w:t>
            </w:r>
          </w:p>
        </w:tc>
        <w:tc>
          <w:tcPr>
            <w:tcW w:w="2268" w:type="dxa"/>
            <w:vAlign w:val="center"/>
          </w:tcPr>
          <w:p>
            <w:pPr>
              <w:pStyle w:val="26"/>
            </w:pPr>
            <w: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租赁合同签订时间</w:t>
            </w:r>
          </w:p>
        </w:tc>
        <w:tc>
          <w:tcPr>
            <w:tcW w:w="2835" w:type="dxa"/>
            <w:vAlign w:val="center"/>
          </w:tcPr>
          <w:p>
            <w:pPr>
              <w:pStyle w:val="26"/>
            </w:pPr>
            <w:r>
              <w:t>办公用房租赁合同的签订日期</w:t>
            </w:r>
          </w:p>
        </w:tc>
        <w:tc>
          <w:tcPr>
            <w:tcW w:w="2551" w:type="dxa"/>
            <w:vAlign w:val="center"/>
          </w:tcPr>
          <w:p>
            <w:pPr>
              <w:pStyle w:val="26"/>
            </w:pPr>
            <w:r>
              <w:t>租赁合同在第一季度内完成</w:t>
            </w:r>
          </w:p>
        </w:tc>
        <w:tc>
          <w:tcPr>
            <w:tcW w:w="2268" w:type="dxa"/>
            <w:vAlign w:val="center"/>
          </w:tcPr>
          <w:p>
            <w:pPr>
              <w:pStyle w:val="26"/>
            </w:pPr>
            <w: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办公用房人均租金</w:t>
            </w:r>
          </w:p>
        </w:tc>
        <w:tc>
          <w:tcPr>
            <w:tcW w:w="2835" w:type="dxa"/>
            <w:vAlign w:val="center"/>
          </w:tcPr>
          <w:p>
            <w:pPr>
              <w:pStyle w:val="26"/>
            </w:pPr>
            <w:r>
              <w:t>反映办公用房的人均租金</w:t>
            </w:r>
          </w:p>
        </w:tc>
        <w:tc>
          <w:tcPr>
            <w:tcW w:w="2551" w:type="dxa"/>
            <w:vAlign w:val="center"/>
          </w:tcPr>
          <w:p>
            <w:pPr>
              <w:pStyle w:val="26"/>
            </w:pPr>
            <w:r>
              <w:t>≤1040元/月/人</w:t>
            </w:r>
          </w:p>
        </w:tc>
        <w:tc>
          <w:tcPr>
            <w:tcW w:w="2268" w:type="dxa"/>
            <w:vAlign w:val="center"/>
          </w:tcPr>
          <w:p>
            <w:pPr>
              <w:pStyle w:val="26"/>
            </w:pPr>
            <w:r>
              <w:t>《河北省省级党政机关办公用房租用经费管理办法》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满足正常办公需求</w:t>
            </w:r>
          </w:p>
        </w:tc>
        <w:tc>
          <w:tcPr>
            <w:tcW w:w="2835" w:type="dxa"/>
            <w:vAlign w:val="center"/>
          </w:tcPr>
          <w:p>
            <w:pPr>
              <w:pStyle w:val="26"/>
            </w:pPr>
            <w:r>
              <w:t>反映是否能保障工作人员正常办公</w:t>
            </w:r>
          </w:p>
        </w:tc>
        <w:tc>
          <w:tcPr>
            <w:tcW w:w="2551" w:type="dxa"/>
            <w:vAlign w:val="center"/>
          </w:tcPr>
          <w:p>
            <w:pPr>
              <w:pStyle w:val="26"/>
            </w:pPr>
            <w:r>
              <w:t>能保障人员正常办公需求</w:t>
            </w:r>
          </w:p>
        </w:tc>
        <w:tc>
          <w:tcPr>
            <w:tcW w:w="2268" w:type="dxa"/>
            <w:vAlign w:val="center"/>
          </w:tcPr>
          <w:p>
            <w:pPr>
              <w:pStyle w:val="26"/>
            </w:pPr>
            <w: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办公用房租用时间</w:t>
            </w:r>
          </w:p>
        </w:tc>
        <w:tc>
          <w:tcPr>
            <w:tcW w:w="2835" w:type="dxa"/>
            <w:vAlign w:val="center"/>
          </w:tcPr>
          <w:p>
            <w:pPr>
              <w:pStyle w:val="26"/>
            </w:pPr>
            <w:r>
              <w:t>反映保障办公用房的使用时间</w:t>
            </w:r>
          </w:p>
        </w:tc>
        <w:tc>
          <w:tcPr>
            <w:tcW w:w="2551" w:type="dxa"/>
            <w:vAlign w:val="center"/>
          </w:tcPr>
          <w:p>
            <w:pPr>
              <w:pStyle w:val="26"/>
            </w:pPr>
            <w:r>
              <w:t>1年</w:t>
            </w:r>
          </w:p>
        </w:tc>
        <w:tc>
          <w:tcPr>
            <w:tcW w:w="2268" w:type="dxa"/>
            <w:vAlign w:val="center"/>
          </w:tcPr>
          <w:p>
            <w:pPr>
              <w:pStyle w:val="26"/>
            </w:pPr>
            <w: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使用者满意度</w:t>
            </w:r>
          </w:p>
        </w:tc>
        <w:tc>
          <w:tcPr>
            <w:tcW w:w="2835" w:type="dxa"/>
            <w:vAlign w:val="center"/>
          </w:tcPr>
          <w:p>
            <w:pPr>
              <w:pStyle w:val="26"/>
            </w:pPr>
            <w:r>
              <w:t>办公用房使用者满意度</w:t>
            </w:r>
          </w:p>
        </w:tc>
        <w:tc>
          <w:tcPr>
            <w:tcW w:w="2551" w:type="dxa"/>
            <w:vAlign w:val="center"/>
          </w:tcPr>
          <w:p>
            <w:pPr>
              <w:pStyle w:val="26"/>
            </w:pPr>
            <w:r>
              <w:t>≥95%</w:t>
            </w:r>
          </w:p>
        </w:tc>
        <w:tc>
          <w:tcPr>
            <w:tcW w:w="2268" w:type="dxa"/>
            <w:vAlign w:val="center"/>
          </w:tcPr>
          <w:p>
            <w:pPr>
              <w:pStyle w:val="26"/>
            </w:pPr>
            <w:r>
              <w:t>满意度测评表</w:t>
            </w:r>
          </w:p>
        </w:tc>
      </w:tr>
    </w:tbl>
    <w:p>
      <w:pPr>
        <w:pStyle w:val="24"/>
      </w:pPr>
    </w:p>
    <w:p>
      <w:pPr>
        <w:pStyle w:val="24"/>
        <w:ind w:firstLine="560"/>
      </w:pPr>
      <w:r>
        <w:rPr>
          <w:rFonts w:ascii="方正仿宋_GBK" w:hAnsi="方正仿宋_GBK" w:eastAsia="方正仿宋_GBK" w:cs="方正仿宋_GBK"/>
          <w:b/>
          <w:color w:val="000000"/>
          <w:sz w:val="28"/>
        </w:rPr>
        <w:t>3、经济责任审计专项工作经费绩效目标表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1.独立履行审计监督职责，贯彻落实中央和省委、省政府重大决策部署，出具合格的审计报告。</w:t>
            </w:r>
          </w:p>
          <w:p>
            <w:pPr>
              <w:pStyle w:val="26"/>
            </w:pPr>
            <w:r>
              <w:t>2.严肃揭露和查处骗取、套取、贪污、侵占、挪用国家财政资金等重大违纪违法问题，及时反映财政金融方面的风险隐患，促进经济发展的质量和效益。</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审计项目数量</w:t>
            </w:r>
          </w:p>
        </w:tc>
        <w:tc>
          <w:tcPr>
            <w:tcW w:w="2835" w:type="dxa"/>
            <w:vAlign w:val="center"/>
          </w:tcPr>
          <w:p>
            <w:pPr>
              <w:pStyle w:val="26"/>
            </w:pPr>
            <w:r>
              <w:t>反映全年完成审计项目的个数</w:t>
            </w:r>
          </w:p>
        </w:tc>
        <w:tc>
          <w:tcPr>
            <w:tcW w:w="2551" w:type="dxa"/>
            <w:vAlign w:val="center"/>
          </w:tcPr>
          <w:p>
            <w:pPr>
              <w:pStyle w:val="26"/>
            </w:pPr>
            <w:r>
              <w:t>≥7个</w:t>
            </w:r>
          </w:p>
        </w:tc>
        <w:tc>
          <w:tcPr>
            <w:tcW w:w="2268" w:type="dxa"/>
            <w:vAlign w:val="center"/>
          </w:tcPr>
          <w:p>
            <w:pPr>
              <w:pStyle w:val="26"/>
            </w:pPr>
            <w:r>
              <w:t>厅2022年审计工作计划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提出审计建议数量</w:t>
            </w:r>
          </w:p>
        </w:tc>
        <w:tc>
          <w:tcPr>
            <w:tcW w:w="2835" w:type="dxa"/>
            <w:vAlign w:val="center"/>
          </w:tcPr>
          <w:p>
            <w:pPr>
              <w:pStyle w:val="26"/>
            </w:pPr>
            <w:r>
              <w:t>反映提出审计建议数量</w:t>
            </w:r>
          </w:p>
        </w:tc>
        <w:tc>
          <w:tcPr>
            <w:tcW w:w="2551" w:type="dxa"/>
            <w:vAlign w:val="center"/>
          </w:tcPr>
          <w:p>
            <w:pPr>
              <w:pStyle w:val="26"/>
            </w:pPr>
            <w:r>
              <w:t>≥35条</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审计程序合规合法性</w:t>
            </w:r>
          </w:p>
        </w:tc>
        <w:tc>
          <w:tcPr>
            <w:tcW w:w="2835" w:type="dxa"/>
            <w:vAlign w:val="center"/>
          </w:tcPr>
          <w:p>
            <w:pPr>
              <w:pStyle w:val="26"/>
            </w:pPr>
            <w:r>
              <w:t>反映审计通知书送达、审计底稿取证、审计报告征求意见、审计档案归档等情况。</w:t>
            </w:r>
          </w:p>
        </w:tc>
        <w:tc>
          <w:tcPr>
            <w:tcW w:w="2551" w:type="dxa"/>
            <w:vAlign w:val="center"/>
          </w:tcPr>
          <w:p>
            <w:pPr>
              <w:pStyle w:val="26"/>
            </w:pPr>
            <w:r>
              <w:t>通知书按时送达、底稿取证合规、报告征求意见</w:t>
            </w:r>
          </w:p>
        </w:tc>
        <w:tc>
          <w:tcPr>
            <w:tcW w:w="2268" w:type="dxa"/>
            <w:vAlign w:val="center"/>
          </w:tcPr>
          <w:p>
            <w:pPr>
              <w:pStyle w:val="26"/>
            </w:pPr>
            <w:r>
              <w:t>《中华人民共和国审计法》《中华人民共和国审计法实施条例》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审计问题整改率</w:t>
            </w:r>
          </w:p>
        </w:tc>
        <w:tc>
          <w:tcPr>
            <w:tcW w:w="2835" w:type="dxa"/>
            <w:vAlign w:val="center"/>
          </w:tcPr>
          <w:p>
            <w:pPr>
              <w:pStyle w:val="26"/>
            </w:pPr>
            <w:r>
              <w:t>已整改问题占审计报告揭示的问题比例</w:t>
            </w:r>
          </w:p>
        </w:tc>
        <w:tc>
          <w:tcPr>
            <w:tcW w:w="2551" w:type="dxa"/>
            <w:vAlign w:val="center"/>
          </w:tcPr>
          <w:p>
            <w:pPr>
              <w:pStyle w:val="26"/>
            </w:pPr>
            <w:r>
              <w:t>≥85%</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审计项目按时归档率</w:t>
            </w:r>
          </w:p>
        </w:tc>
        <w:tc>
          <w:tcPr>
            <w:tcW w:w="2835" w:type="dxa"/>
            <w:vAlign w:val="center"/>
          </w:tcPr>
          <w:p>
            <w:pPr>
              <w:pStyle w:val="26"/>
            </w:pPr>
            <w:r>
              <w:t>反映审计项目是否按时归档</w:t>
            </w:r>
          </w:p>
        </w:tc>
        <w:tc>
          <w:tcPr>
            <w:tcW w:w="2551" w:type="dxa"/>
            <w:vAlign w:val="center"/>
          </w:tcPr>
          <w:p>
            <w:pPr>
              <w:pStyle w:val="26"/>
            </w:pPr>
            <w:r>
              <w:t>100%</w:t>
            </w:r>
          </w:p>
        </w:tc>
        <w:tc>
          <w:tcPr>
            <w:tcW w:w="2268" w:type="dxa"/>
            <w:vAlign w:val="center"/>
          </w:tcPr>
          <w:p>
            <w:pPr>
              <w:pStyle w:val="26"/>
            </w:pPr>
            <w:r>
              <w:t>审计档案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审计项目按时完成率</w:t>
            </w:r>
          </w:p>
        </w:tc>
        <w:tc>
          <w:tcPr>
            <w:tcW w:w="2835" w:type="dxa"/>
            <w:vAlign w:val="center"/>
          </w:tcPr>
          <w:p>
            <w:pPr>
              <w:pStyle w:val="26"/>
            </w:pPr>
            <w:r>
              <w:t>反映审计项目是否按时完成</w:t>
            </w:r>
          </w:p>
        </w:tc>
        <w:tc>
          <w:tcPr>
            <w:tcW w:w="2551" w:type="dxa"/>
            <w:vAlign w:val="center"/>
          </w:tcPr>
          <w:p>
            <w:pPr>
              <w:pStyle w:val="26"/>
            </w:pPr>
            <w:r>
              <w:t>100%</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控制财政经费支持规模</w:t>
            </w:r>
          </w:p>
        </w:tc>
        <w:tc>
          <w:tcPr>
            <w:tcW w:w="2551" w:type="dxa"/>
            <w:vAlign w:val="center"/>
          </w:tcPr>
          <w:p>
            <w:pPr>
              <w:pStyle w:val="26"/>
            </w:pPr>
            <w:r>
              <w:t>≤300万元</w:t>
            </w:r>
          </w:p>
        </w:tc>
        <w:tc>
          <w:tcPr>
            <w:tcW w:w="2268" w:type="dxa"/>
            <w:vAlign w:val="center"/>
          </w:tcPr>
          <w:p>
            <w:pPr>
              <w:pStyle w:val="2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被审计单位建立健全规章制度</w:t>
            </w:r>
          </w:p>
        </w:tc>
        <w:tc>
          <w:tcPr>
            <w:tcW w:w="2835" w:type="dxa"/>
            <w:vAlign w:val="center"/>
          </w:tcPr>
          <w:p>
            <w:pPr>
              <w:pStyle w:val="26"/>
            </w:pPr>
            <w:r>
              <w:t>反映被审计单位根据审计建议建立健全规章制度的数量</w:t>
            </w:r>
          </w:p>
        </w:tc>
        <w:tc>
          <w:tcPr>
            <w:tcW w:w="2551" w:type="dxa"/>
            <w:vAlign w:val="center"/>
          </w:tcPr>
          <w:p>
            <w:pPr>
              <w:pStyle w:val="26"/>
            </w:pPr>
            <w:r>
              <w:t>≥30条</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审计违纪投诉率</w:t>
            </w:r>
          </w:p>
        </w:tc>
        <w:tc>
          <w:tcPr>
            <w:tcW w:w="2835" w:type="dxa"/>
            <w:vAlign w:val="center"/>
          </w:tcPr>
          <w:p>
            <w:pPr>
              <w:pStyle w:val="26"/>
            </w:pPr>
            <w:r>
              <w:t>在对审计人员依法审计、廉洁审计、文明审计方面投诉的审计项目数量占合部审计项目的比例</w:t>
            </w:r>
          </w:p>
        </w:tc>
        <w:tc>
          <w:tcPr>
            <w:tcW w:w="2551" w:type="dxa"/>
            <w:vAlign w:val="center"/>
          </w:tcPr>
          <w:p>
            <w:pPr>
              <w:pStyle w:val="26"/>
            </w:pPr>
            <w:r>
              <w:t>≤5%</w:t>
            </w:r>
          </w:p>
        </w:tc>
        <w:tc>
          <w:tcPr>
            <w:tcW w:w="2268" w:type="dxa"/>
            <w:vAlign w:val="center"/>
          </w:tcPr>
          <w:p>
            <w:pPr>
              <w:pStyle w:val="26"/>
            </w:pPr>
            <w:r>
              <w:t>驻厅纪检组和机关纪委数据</w:t>
            </w:r>
          </w:p>
        </w:tc>
      </w:tr>
    </w:tbl>
    <w:p>
      <w:pPr>
        <w:pStyle w:val="24"/>
      </w:pPr>
    </w:p>
    <w:p>
      <w:pPr>
        <w:pStyle w:val="24"/>
        <w:ind w:firstLine="560"/>
      </w:pPr>
      <w:r>
        <w:rPr>
          <w:rFonts w:ascii="方正仿宋_GBK" w:hAnsi="方正仿宋_GBK" w:eastAsia="方正仿宋_GBK" w:cs="方正仿宋_GBK"/>
          <w:b/>
          <w:color w:val="000000"/>
          <w:sz w:val="28"/>
        </w:rPr>
        <w:t>4、审计工作专项经费绩效目标表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1.独立履行审计监督职责，贯彻落实中央和省委、省政府重大决策部署，出具合格的审计报告。</w:t>
            </w:r>
          </w:p>
          <w:p>
            <w:pPr>
              <w:pStyle w:val="26"/>
            </w:pPr>
            <w:r>
              <w:t>2.严肃揭露和查处骗取、套取、贪污、侵占、挪用国家财政资金等重大违纪违法问题，及时反映财政金融方面的风险隐患，促进经济发展的质量和效益。</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审计项目数量</w:t>
            </w:r>
          </w:p>
        </w:tc>
        <w:tc>
          <w:tcPr>
            <w:tcW w:w="2835" w:type="dxa"/>
            <w:vAlign w:val="center"/>
          </w:tcPr>
          <w:p>
            <w:pPr>
              <w:pStyle w:val="26"/>
            </w:pPr>
            <w:r>
              <w:t>反映全年完成审计项目的个数</w:t>
            </w:r>
          </w:p>
        </w:tc>
        <w:tc>
          <w:tcPr>
            <w:tcW w:w="2551" w:type="dxa"/>
            <w:vAlign w:val="center"/>
          </w:tcPr>
          <w:p>
            <w:pPr>
              <w:pStyle w:val="26"/>
            </w:pPr>
            <w:r>
              <w:t>≥75个</w:t>
            </w:r>
          </w:p>
        </w:tc>
        <w:tc>
          <w:tcPr>
            <w:tcW w:w="2268" w:type="dxa"/>
            <w:vAlign w:val="center"/>
          </w:tcPr>
          <w:p>
            <w:pPr>
              <w:pStyle w:val="26"/>
            </w:pPr>
            <w:r>
              <w:t>厅2022年审计工作计划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重大审计项目的数量</w:t>
            </w:r>
          </w:p>
        </w:tc>
        <w:tc>
          <w:tcPr>
            <w:tcW w:w="2835" w:type="dxa"/>
            <w:vAlign w:val="center"/>
          </w:tcPr>
          <w:p>
            <w:pPr>
              <w:pStyle w:val="26"/>
            </w:pPr>
            <w:r>
              <w:t>反映全年完成重大审计项目的个数</w:t>
            </w:r>
          </w:p>
        </w:tc>
        <w:tc>
          <w:tcPr>
            <w:tcW w:w="2551" w:type="dxa"/>
            <w:vAlign w:val="center"/>
          </w:tcPr>
          <w:p>
            <w:pPr>
              <w:pStyle w:val="26"/>
            </w:pPr>
            <w:r>
              <w:t>≥3个</w:t>
            </w:r>
          </w:p>
        </w:tc>
        <w:tc>
          <w:tcPr>
            <w:tcW w:w="2268" w:type="dxa"/>
            <w:vAlign w:val="center"/>
          </w:tcPr>
          <w:p>
            <w:pPr>
              <w:pStyle w:val="26"/>
            </w:pPr>
            <w:r>
              <w:t>厅2022年审计工作计划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提出审计建议数量</w:t>
            </w:r>
          </w:p>
        </w:tc>
        <w:tc>
          <w:tcPr>
            <w:tcW w:w="2835" w:type="dxa"/>
            <w:vAlign w:val="center"/>
          </w:tcPr>
          <w:p>
            <w:pPr>
              <w:pStyle w:val="26"/>
            </w:pPr>
            <w:r>
              <w:t>反映提出审计建议数量</w:t>
            </w:r>
          </w:p>
        </w:tc>
        <w:tc>
          <w:tcPr>
            <w:tcW w:w="2551" w:type="dxa"/>
            <w:vAlign w:val="center"/>
          </w:tcPr>
          <w:p>
            <w:pPr>
              <w:pStyle w:val="26"/>
            </w:pPr>
            <w:r>
              <w:t>≥200条</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审计程序合规合法性</w:t>
            </w:r>
          </w:p>
        </w:tc>
        <w:tc>
          <w:tcPr>
            <w:tcW w:w="2835" w:type="dxa"/>
            <w:vAlign w:val="center"/>
          </w:tcPr>
          <w:p>
            <w:pPr>
              <w:pStyle w:val="26"/>
            </w:pPr>
            <w:r>
              <w:t>反映审计通知书送达、审计底稿取证、审计报告征求意见、审计档案归档等情况。</w:t>
            </w:r>
          </w:p>
        </w:tc>
        <w:tc>
          <w:tcPr>
            <w:tcW w:w="2551" w:type="dxa"/>
            <w:vAlign w:val="center"/>
          </w:tcPr>
          <w:p>
            <w:pPr>
              <w:pStyle w:val="26"/>
            </w:pPr>
            <w:r>
              <w:t>审计通知书按时送达、审计底稿取证合规、审计报告征求意见、审计档案及时归档。</w:t>
            </w:r>
          </w:p>
        </w:tc>
        <w:tc>
          <w:tcPr>
            <w:tcW w:w="2268" w:type="dxa"/>
            <w:vAlign w:val="center"/>
          </w:tcPr>
          <w:p>
            <w:pPr>
              <w:pStyle w:val="26"/>
            </w:pPr>
            <w:r>
              <w:t>《中华人民共和国审计法》《中华人民共和国审计法实施条例》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审计计划完成率</w:t>
            </w:r>
          </w:p>
        </w:tc>
        <w:tc>
          <w:tcPr>
            <w:tcW w:w="2835" w:type="dxa"/>
            <w:vAlign w:val="center"/>
          </w:tcPr>
          <w:p>
            <w:pPr>
              <w:pStyle w:val="26"/>
            </w:pPr>
            <w:r>
              <w:t>已审计项目占审计计划项目的比例</w:t>
            </w:r>
          </w:p>
        </w:tc>
        <w:tc>
          <w:tcPr>
            <w:tcW w:w="2551" w:type="dxa"/>
            <w:vAlign w:val="center"/>
          </w:tcPr>
          <w:p>
            <w:pPr>
              <w:pStyle w:val="26"/>
            </w:pPr>
            <w:r>
              <w:t>≥90%</w:t>
            </w:r>
          </w:p>
        </w:tc>
        <w:tc>
          <w:tcPr>
            <w:tcW w:w="2268" w:type="dxa"/>
            <w:vAlign w:val="center"/>
          </w:tcPr>
          <w:p>
            <w:pPr>
              <w:pStyle w:val="26"/>
            </w:pPr>
            <w:r>
              <w:t>厅2022年审计工作计划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审计问题整改率</w:t>
            </w:r>
          </w:p>
        </w:tc>
        <w:tc>
          <w:tcPr>
            <w:tcW w:w="2835" w:type="dxa"/>
            <w:vAlign w:val="center"/>
          </w:tcPr>
          <w:p>
            <w:pPr>
              <w:pStyle w:val="26"/>
            </w:pPr>
            <w:r>
              <w:t>已整改问题占审计报告揭示的问题比例</w:t>
            </w:r>
          </w:p>
        </w:tc>
        <w:tc>
          <w:tcPr>
            <w:tcW w:w="2551" w:type="dxa"/>
            <w:vAlign w:val="center"/>
          </w:tcPr>
          <w:p>
            <w:pPr>
              <w:pStyle w:val="26"/>
            </w:pPr>
            <w:r>
              <w:t>≥85%</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未按时完成审计项目的数量</w:t>
            </w:r>
          </w:p>
        </w:tc>
        <w:tc>
          <w:tcPr>
            <w:tcW w:w="2835" w:type="dxa"/>
            <w:vAlign w:val="center"/>
          </w:tcPr>
          <w:p>
            <w:pPr>
              <w:pStyle w:val="26"/>
            </w:pPr>
            <w:r>
              <w:t>反映未按时完成的审计项目个数</w:t>
            </w:r>
          </w:p>
        </w:tc>
        <w:tc>
          <w:tcPr>
            <w:tcW w:w="2551" w:type="dxa"/>
            <w:vAlign w:val="center"/>
          </w:tcPr>
          <w:p>
            <w:pPr>
              <w:pStyle w:val="26"/>
            </w:pPr>
            <w:r>
              <w:t>≤2个</w:t>
            </w:r>
          </w:p>
        </w:tc>
        <w:tc>
          <w:tcPr>
            <w:tcW w:w="2268" w:type="dxa"/>
            <w:vAlign w:val="center"/>
          </w:tcPr>
          <w:p>
            <w:pPr>
              <w:pStyle w:val="26"/>
            </w:pPr>
            <w:r>
              <w:t>厅2022年审计工作计划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控制财政经费支持规模</w:t>
            </w:r>
          </w:p>
        </w:tc>
        <w:tc>
          <w:tcPr>
            <w:tcW w:w="2551" w:type="dxa"/>
            <w:vAlign w:val="center"/>
          </w:tcPr>
          <w:p>
            <w:pPr>
              <w:pStyle w:val="26"/>
            </w:pPr>
            <w:r>
              <w:t>≤2586万元</w:t>
            </w:r>
          </w:p>
        </w:tc>
        <w:tc>
          <w:tcPr>
            <w:tcW w:w="2268" w:type="dxa"/>
            <w:vAlign w:val="center"/>
          </w:tcPr>
          <w:p>
            <w:pPr>
              <w:pStyle w:val="2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促进</w:t>
            </w:r>
            <w:bookmarkStart w:id="18" w:name="_GoBack"/>
            <w:bookmarkEnd w:id="18"/>
            <w:r>
              <w:t>增收</w:t>
            </w:r>
            <w:r>
              <w:rPr>
                <w:rFonts w:hint="eastAsia"/>
                <w:lang w:val="en-US" w:eastAsia="zh-CN"/>
              </w:rPr>
              <w:t>节支</w:t>
            </w:r>
            <w:r>
              <w:t>、挽回损失金额</w:t>
            </w:r>
          </w:p>
        </w:tc>
        <w:tc>
          <w:tcPr>
            <w:tcW w:w="2835" w:type="dxa"/>
            <w:vAlign w:val="center"/>
          </w:tcPr>
          <w:p>
            <w:pPr>
              <w:pStyle w:val="26"/>
            </w:pPr>
            <w:r>
              <w:t>反映通过审计，促进增收</w:t>
            </w:r>
            <w:r>
              <w:rPr>
                <w:rFonts w:hint="eastAsia"/>
                <w:lang w:val="en-US" w:eastAsia="zh-CN"/>
              </w:rPr>
              <w:t>节支</w:t>
            </w:r>
            <w:r>
              <w:t>、挽回损失金额</w:t>
            </w:r>
          </w:p>
        </w:tc>
        <w:tc>
          <w:tcPr>
            <w:tcW w:w="2551" w:type="dxa"/>
            <w:vAlign w:val="center"/>
          </w:tcPr>
          <w:p>
            <w:pPr>
              <w:pStyle w:val="26"/>
            </w:pPr>
            <w:r>
              <w:t>≥5000万元</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根据审计建议建立健全规章制度数量</w:t>
            </w:r>
          </w:p>
        </w:tc>
        <w:tc>
          <w:tcPr>
            <w:tcW w:w="2835" w:type="dxa"/>
            <w:vAlign w:val="center"/>
          </w:tcPr>
          <w:p>
            <w:pPr>
              <w:pStyle w:val="26"/>
            </w:pPr>
            <w:r>
              <w:t>反映被审计单位根据审计建议建立健全规章制度的数量</w:t>
            </w:r>
          </w:p>
        </w:tc>
        <w:tc>
          <w:tcPr>
            <w:tcW w:w="2551" w:type="dxa"/>
            <w:vAlign w:val="center"/>
          </w:tcPr>
          <w:p>
            <w:pPr>
              <w:pStyle w:val="26"/>
            </w:pPr>
            <w:r>
              <w:t>≥50项</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移送重大案件线索和事项的数量</w:t>
            </w:r>
          </w:p>
        </w:tc>
        <w:tc>
          <w:tcPr>
            <w:tcW w:w="2835" w:type="dxa"/>
            <w:vAlign w:val="center"/>
          </w:tcPr>
          <w:p>
            <w:pPr>
              <w:pStyle w:val="26"/>
            </w:pPr>
            <w:r>
              <w:t>反映审计移送情况</w:t>
            </w:r>
          </w:p>
        </w:tc>
        <w:tc>
          <w:tcPr>
            <w:tcW w:w="2551" w:type="dxa"/>
            <w:vAlign w:val="center"/>
          </w:tcPr>
          <w:p>
            <w:pPr>
              <w:pStyle w:val="26"/>
            </w:pPr>
            <w:r>
              <w:t>≥90项</w:t>
            </w:r>
          </w:p>
        </w:tc>
        <w:tc>
          <w:tcPr>
            <w:tcW w:w="2268" w:type="dxa"/>
            <w:vAlign w:val="center"/>
          </w:tcPr>
          <w:p>
            <w:pPr>
              <w:pStyle w:val="26"/>
            </w:pPr>
            <w:r>
              <w:t>审计报告、移送处理书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审计违纪投诉率</w:t>
            </w:r>
          </w:p>
        </w:tc>
        <w:tc>
          <w:tcPr>
            <w:tcW w:w="2835" w:type="dxa"/>
            <w:vAlign w:val="center"/>
          </w:tcPr>
          <w:p>
            <w:pPr>
              <w:pStyle w:val="26"/>
            </w:pPr>
            <w:r>
              <w:t>在对审计人员依法审计、廉洁审计、文明审计方面投诉的审计项目数量占合部审计项目的比例</w:t>
            </w:r>
          </w:p>
        </w:tc>
        <w:tc>
          <w:tcPr>
            <w:tcW w:w="2551" w:type="dxa"/>
            <w:vAlign w:val="center"/>
          </w:tcPr>
          <w:p>
            <w:pPr>
              <w:pStyle w:val="26"/>
            </w:pPr>
            <w:r>
              <w:t>≤5%</w:t>
            </w:r>
          </w:p>
        </w:tc>
        <w:tc>
          <w:tcPr>
            <w:tcW w:w="2268" w:type="dxa"/>
            <w:vAlign w:val="center"/>
          </w:tcPr>
          <w:p>
            <w:pPr>
              <w:pStyle w:val="26"/>
            </w:pPr>
            <w:r>
              <w:t>驻厅纪检组和机关纪委数据</w:t>
            </w:r>
          </w:p>
        </w:tc>
      </w:tr>
    </w:tbl>
    <w:p>
      <w:pPr>
        <w:pStyle w:val="24"/>
      </w:pPr>
    </w:p>
    <w:p>
      <w:pPr>
        <w:pStyle w:val="24"/>
        <w:ind w:firstLine="560"/>
      </w:pPr>
      <w:r>
        <w:rPr>
          <w:rFonts w:ascii="方正仿宋_GBK" w:hAnsi="方正仿宋_GBK" w:eastAsia="方正仿宋_GBK" w:cs="方正仿宋_GBK"/>
          <w:b/>
          <w:color w:val="000000"/>
          <w:sz w:val="28"/>
        </w:rPr>
        <w:t>5、审计人员培训补助（中央提前下达）绩效目标表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1.通过审计专业知识及案例讲解分析，提升审计队伍业务素质、增强责任意识、提高实际操作水平。</w:t>
            </w:r>
          </w:p>
          <w:p>
            <w:pPr>
              <w:pStyle w:val="26"/>
            </w:pPr>
            <w:r>
              <w:t>2.通过计算机知识培训，增强审计人员运用大数据进行审计分析的能力，实现科技强审的目标。</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培训期数</w:t>
            </w:r>
          </w:p>
        </w:tc>
        <w:tc>
          <w:tcPr>
            <w:tcW w:w="2835" w:type="dxa"/>
            <w:vAlign w:val="center"/>
          </w:tcPr>
          <w:p>
            <w:pPr>
              <w:pStyle w:val="26"/>
            </w:pPr>
            <w:r>
              <w:t>全年培训期数</w:t>
            </w:r>
          </w:p>
        </w:tc>
        <w:tc>
          <w:tcPr>
            <w:tcW w:w="2551" w:type="dxa"/>
            <w:vAlign w:val="center"/>
          </w:tcPr>
          <w:p>
            <w:pPr>
              <w:pStyle w:val="26"/>
            </w:pPr>
            <w:r>
              <w:t>≥5期</w:t>
            </w:r>
          </w:p>
        </w:tc>
        <w:tc>
          <w:tcPr>
            <w:tcW w:w="2268" w:type="dxa"/>
            <w:vAlign w:val="center"/>
          </w:tcPr>
          <w:p>
            <w:pPr>
              <w:pStyle w:val="26"/>
            </w:pPr>
            <w:r>
              <w:t>厅2022年度培训计划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受训人员合格率</w:t>
            </w:r>
          </w:p>
        </w:tc>
        <w:tc>
          <w:tcPr>
            <w:tcW w:w="2835" w:type="dxa"/>
            <w:vAlign w:val="center"/>
          </w:tcPr>
          <w:p>
            <w:pPr>
              <w:pStyle w:val="26"/>
            </w:pPr>
            <w:r>
              <w:t>反映受训人员的培训效果情况</w:t>
            </w:r>
          </w:p>
        </w:tc>
        <w:tc>
          <w:tcPr>
            <w:tcW w:w="2551" w:type="dxa"/>
            <w:vAlign w:val="center"/>
          </w:tcPr>
          <w:p>
            <w:pPr>
              <w:pStyle w:val="26"/>
            </w:pPr>
            <w:r>
              <w:t>≥95%</w:t>
            </w:r>
          </w:p>
        </w:tc>
        <w:tc>
          <w:tcPr>
            <w:tcW w:w="2268" w:type="dxa"/>
            <w:vAlign w:val="center"/>
          </w:tcPr>
          <w:p>
            <w:pPr>
              <w:pStyle w:val="26"/>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培训完成及时情况</w:t>
            </w:r>
          </w:p>
        </w:tc>
        <w:tc>
          <w:tcPr>
            <w:tcW w:w="2835" w:type="dxa"/>
            <w:vAlign w:val="center"/>
          </w:tcPr>
          <w:p>
            <w:pPr>
              <w:pStyle w:val="26"/>
            </w:pPr>
            <w:r>
              <w:t>反映培训计划是否按时完成</w:t>
            </w:r>
          </w:p>
        </w:tc>
        <w:tc>
          <w:tcPr>
            <w:tcW w:w="2551" w:type="dxa"/>
            <w:vAlign w:val="center"/>
          </w:tcPr>
          <w:p>
            <w:pPr>
              <w:pStyle w:val="26"/>
            </w:pPr>
            <w:r>
              <w:t>培训计划如期完成</w:t>
            </w:r>
          </w:p>
        </w:tc>
        <w:tc>
          <w:tcPr>
            <w:tcW w:w="2268" w:type="dxa"/>
            <w:vAlign w:val="center"/>
          </w:tcPr>
          <w:p>
            <w:pPr>
              <w:pStyle w:val="26"/>
            </w:pPr>
            <w:r>
              <w:t>厅2022年度培训计划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人均培训成本</w:t>
            </w:r>
          </w:p>
        </w:tc>
        <w:tc>
          <w:tcPr>
            <w:tcW w:w="2835" w:type="dxa"/>
            <w:vAlign w:val="center"/>
          </w:tcPr>
          <w:p>
            <w:pPr>
              <w:pStyle w:val="26"/>
            </w:pPr>
            <w:r>
              <w:t>反映人均培训费用是否在标准范围内</w:t>
            </w:r>
          </w:p>
        </w:tc>
        <w:tc>
          <w:tcPr>
            <w:tcW w:w="2551" w:type="dxa"/>
            <w:vAlign w:val="center"/>
          </w:tcPr>
          <w:p>
            <w:pPr>
              <w:pStyle w:val="26"/>
            </w:pPr>
            <w:r>
              <w:t>培训费文件规定标准值</w:t>
            </w:r>
          </w:p>
        </w:tc>
        <w:tc>
          <w:tcPr>
            <w:tcW w:w="2268" w:type="dxa"/>
            <w:vAlign w:val="center"/>
          </w:tcPr>
          <w:p>
            <w:pPr>
              <w:pStyle w:val="26"/>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培训费用的节约情况</w:t>
            </w:r>
          </w:p>
        </w:tc>
        <w:tc>
          <w:tcPr>
            <w:tcW w:w="2835" w:type="dxa"/>
            <w:vAlign w:val="center"/>
          </w:tcPr>
          <w:p>
            <w:pPr>
              <w:pStyle w:val="26"/>
            </w:pPr>
            <w:r>
              <w:t>如期完成培训计划后，节约的培训费用占计划发生的比例。</w:t>
            </w:r>
          </w:p>
        </w:tc>
        <w:tc>
          <w:tcPr>
            <w:tcW w:w="2551" w:type="dxa"/>
            <w:vAlign w:val="center"/>
          </w:tcPr>
          <w:p>
            <w:pPr>
              <w:pStyle w:val="26"/>
            </w:pPr>
            <w:r>
              <w:t>≥3%</w:t>
            </w:r>
          </w:p>
        </w:tc>
        <w:tc>
          <w:tcPr>
            <w:tcW w:w="2268" w:type="dxa"/>
            <w:vAlign w:val="center"/>
          </w:tcPr>
          <w:p>
            <w:pPr>
              <w:pStyle w:val="26"/>
            </w:pPr>
            <w:r>
              <w:t>厅2022年度培训计划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审计培训进高校的情况</w:t>
            </w:r>
          </w:p>
        </w:tc>
        <w:tc>
          <w:tcPr>
            <w:tcW w:w="2835" w:type="dxa"/>
            <w:vAlign w:val="center"/>
          </w:tcPr>
          <w:p>
            <w:pPr>
              <w:pStyle w:val="26"/>
            </w:pPr>
            <w:r>
              <w:t>反映审计培训进高校所带来的社会影响。</w:t>
            </w:r>
          </w:p>
        </w:tc>
        <w:tc>
          <w:tcPr>
            <w:tcW w:w="2551" w:type="dxa"/>
            <w:vAlign w:val="center"/>
          </w:tcPr>
          <w:p>
            <w:pPr>
              <w:pStyle w:val="26"/>
            </w:pPr>
            <w:r>
              <w:t>通过与高校对接培训，推动高校师生深入了解审计、理解审计、投身审计</w:t>
            </w:r>
          </w:p>
        </w:tc>
        <w:tc>
          <w:tcPr>
            <w:tcW w:w="2268" w:type="dxa"/>
            <w:vAlign w:val="center"/>
          </w:tcPr>
          <w:p>
            <w:pPr>
              <w:pStyle w:val="26"/>
            </w:pPr>
            <w:r>
              <w:t>厅2022年度培训计划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审计建议增加数量</w:t>
            </w:r>
          </w:p>
        </w:tc>
        <w:tc>
          <w:tcPr>
            <w:tcW w:w="2835" w:type="dxa"/>
            <w:vAlign w:val="center"/>
          </w:tcPr>
          <w:p>
            <w:pPr>
              <w:pStyle w:val="26"/>
            </w:pPr>
            <w:r>
              <w:t>通过培训，审计建议较2021年提升的数量</w:t>
            </w:r>
          </w:p>
        </w:tc>
        <w:tc>
          <w:tcPr>
            <w:tcW w:w="2551" w:type="dxa"/>
            <w:vAlign w:val="center"/>
          </w:tcPr>
          <w:p>
            <w:pPr>
              <w:pStyle w:val="26"/>
            </w:pPr>
            <w:r>
              <w:t>≥50条</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受训人员满意度</w:t>
            </w:r>
          </w:p>
        </w:tc>
        <w:tc>
          <w:tcPr>
            <w:tcW w:w="2835" w:type="dxa"/>
            <w:vAlign w:val="center"/>
          </w:tcPr>
          <w:p>
            <w:pPr>
              <w:pStyle w:val="26"/>
            </w:pPr>
            <w:r>
              <w:t>反映培训学员对培训工作的满意程度</w:t>
            </w:r>
          </w:p>
        </w:tc>
        <w:tc>
          <w:tcPr>
            <w:tcW w:w="2551" w:type="dxa"/>
            <w:vAlign w:val="center"/>
          </w:tcPr>
          <w:p>
            <w:pPr>
              <w:pStyle w:val="26"/>
            </w:pPr>
            <w:r>
              <w:t>≥95%</w:t>
            </w:r>
          </w:p>
        </w:tc>
        <w:tc>
          <w:tcPr>
            <w:tcW w:w="2268" w:type="dxa"/>
            <w:vAlign w:val="center"/>
          </w:tcPr>
          <w:p>
            <w:pPr>
              <w:pStyle w:val="26"/>
            </w:pPr>
            <w:r>
              <w:t>满意度测评表</w:t>
            </w:r>
          </w:p>
        </w:tc>
      </w:tr>
    </w:tbl>
    <w:p>
      <w:pPr>
        <w:pStyle w:val="24"/>
      </w:pPr>
    </w:p>
    <w:p>
      <w:pPr>
        <w:pStyle w:val="24"/>
        <w:ind w:firstLine="560"/>
      </w:pPr>
      <w:r>
        <w:rPr>
          <w:rFonts w:ascii="方正仿宋_GBK" w:hAnsi="方正仿宋_GBK" w:eastAsia="方正仿宋_GBK" w:cs="方正仿宋_GBK"/>
          <w:b/>
          <w:color w:val="000000"/>
          <w:sz w:val="28"/>
        </w:rPr>
        <w:t>6、组织地方审计机关审计工作经费绩效目标表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1.独立履行审计监督职责，按计划完成审计署授权的审计项目，出具合格的审计报告。</w:t>
            </w:r>
          </w:p>
          <w:p>
            <w:pPr>
              <w:pStyle w:val="26"/>
            </w:pPr>
            <w:r>
              <w:t>2.严肃揭露和查处骗取、套取、贪污、侵占、挪用国家财政资金等重大违纪违法问题，及时反映财政金融方面的风险隐患，促进经济发展的质量和效益。</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提出审计建议</w:t>
            </w:r>
          </w:p>
        </w:tc>
        <w:tc>
          <w:tcPr>
            <w:tcW w:w="2835" w:type="dxa"/>
            <w:vAlign w:val="center"/>
          </w:tcPr>
          <w:p>
            <w:pPr>
              <w:pStyle w:val="26"/>
            </w:pPr>
            <w:r>
              <w:t>反映提出审计建议数量</w:t>
            </w:r>
          </w:p>
        </w:tc>
        <w:tc>
          <w:tcPr>
            <w:tcW w:w="2551" w:type="dxa"/>
            <w:vAlign w:val="center"/>
          </w:tcPr>
          <w:p>
            <w:pPr>
              <w:pStyle w:val="26"/>
            </w:pPr>
            <w:r>
              <w:t>≥5条</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提交各类审计报告和信息简报</w:t>
            </w:r>
          </w:p>
        </w:tc>
        <w:tc>
          <w:tcPr>
            <w:tcW w:w="2835" w:type="dxa"/>
            <w:vAlign w:val="center"/>
          </w:tcPr>
          <w:p>
            <w:pPr>
              <w:pStyle w:val="26"/>
            </w:pPr>
            <w:r>
              <w:t>反映提交各类审计报告和信息简报数量</w:t>
            </w:r>
          </w:p>
        </w:tc>
        <w:tc>
          <w:tcPr>
            <w:tcW w:w="2551" w:type="dxa"/>
            <w:vAlign w:val="center"/>
          </w:tcPr>
          <w:p>
            <w:pPr>
              <w:pStyle w:val="26"/>
            </w:pPr>
            <w:r>
              <w:t>≥2篇</w:t>
            </w:r>
          </w:p>
        </w:tc>
        <w:tc>
          <w:tcPr>
            <w:tcW w:w="2268" w:type="dxa"/>
            <w:vAlign w:val="center"/>
          </w:tcPr>
          <w:p>
            <w:pPr>
              <w:pStyle w:val="26"/>
            </w:pPr>
            <w:r>
              <w:t>审计报告、审计信息报送平台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审计程序合规合法性</w:t>
            </w:r>
          </w:p>
        </w:tc>
        <w:tc>
          <w:tcPr>
            <w:tcW w:w="2835" w:type="dxa"/>
            <w:vAlign w:val="center"/>
          </w:tcPr>
          <w:p>
            <w:pPr>
              <w:pStyle w:val="26"/>
            </w:pPr>
            <w:r>
              <w:t>反映审计通知书送达、底稿取证、报告征求意见、档案归档等情况。</w:t>
            </w:r>
          </w:p>
        </w:tc>
        <w:tc>
          <w:tcPr>
            <w:tcW w:w="2551" w:type="dxa"/>
            <w:vAlign w:val="center"/>
          </w:tcPr>
          <w:p>
            <w:pPr>
              <w:pStyle w:val="26"/>
            </w:pPr>
            <w:r>
              <w:t>审计通知书按时送达、底稿取证合规、报告征求意见、档案及时归档。</w:t>
            </w:r>
          </w:p>
        </w:tc>
        <w:tc>
          <w:tcPr>
            <w:tcW w:w="2268" w:type="dxa"/>
            <w:vAlign w:val="center"/>
          </w:tcPr>
          <w:p>
            <w:pPr>
              <w:pStyle w:val="26"/>
            </w:pPr>
            <w:r>
              <w:t>《中华人民共和国审计法》《中华人民共和国审计法实施条例》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审计项目按时完成率</w:t>
            </w:r>
          </w:p>
        </w:tc>
        <w:tc>
          <w:tcPr>
            <w:tcW w:w="2835" w:type="dxa"/>
            <w:vAlign w:val="center"/>
          </w:tcPr>
          <w:p>
            <w:pPr>
              <w:pStyle w:val="26"/>
            </w:pPr>
            <w:r>
              <w:t>反映审计项目是否按时完成</w:t>
            </w:r>
          </w:p>
        </w:tc>
        <w:tc>
          <w:tcPr>
            <w:tcW w:w="2551" w:type="dxa"/>
            <w:vAlign w:val="center"/>
          </w:tcPr>
          <w:p>
            <w:pPr>
              <w:pStyle w:val="26"/>
            </w:pPr>
            <w:r>
              <w:t>100%</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审计项目按时归档率</w:t>
            </w:r>
          </w:p>
        </w:tc>
        <w:tc>
          <w:tcPr>
            <w:tcW w:w="2835" w:type="dxa"/>
            <w:vAlign w:val="center"/>
          </w:tcPr>
          <w:p>
            <w:pPr>
              <w:pStyle w:val="26"/>
            </w:pPr>
            <w:r>
              <w:t>反映审计项目是否按时归档</w:t>
            </w:r>
          </w:p>
        </w:tc>
        <w:tc>
          <w:tcPr>
            <w:tcW w:w="2551" w:type="dxa"/>
            <w:vAlign w:val="center"/>
          </w:tcPr>
          <w:p>
            <w:pPr>
              <w:pStyle w:val="26"/>
            </w:pPr>
            <w:r>
              <w:t>100%</w:t>
            </w:r>
          </w:p>
        </w:tc>
        <w:tc>
          <w:tcPr>
            <w:tcW w:w="2268" w:type="dxa"/>
            <w:vAlign w:val="center"/>
          </w:tcPr>
          <w:p>
            <w:pPr>
              <w:pStyle w:val="26"/>
            </w:pPr>
            <w:r>
              <w:t>审计档案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控制财政经费支持规模</w:t>
            </w:r>
          </w:p>
        </w:tc>
        <w:tc>
          <w:tcPr>
            <w:tcW w:w="2551" w:type="dxa"/>
            <w:vAlign w:val="center"/>
          </w:tcPr>
          <w:p>
            <w:pPr>
              <w:pStyle w:val="26"/>
            </w:pPr>
            <w:r>
              <w:t>≤500万元</w:t>
            </w:r>
          </w:p>
        </w:tc>
        <w:tc>
          <w:tcPr>
            <w:tcW w:w="2268" w:type="dxa"/>
            <w:vAlign w:val="center"/>
          </w:tcPr>
          <w:p>
            <w:pPr>
              <w:pStyle w:val="26"/>
            </w:pPr>
            <w:r>
              <w:t>审计署拨付经费文件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被审计单位调账处理</w:t>
            </w:r>
          </w:p>
        </w:tc>
        <w:tc>
          <w:tcPr>
            <w:tcW w:w="2835" w:type="dxa"/>
            <w:vAlign w:val="center"/>
          </w:tcPr>
          <w:p>
            <w:pPr>
              <w:pStyle w:val="26"/>
            </w:pPr>
            <w:r>
              <w:t>反映被审计单位的账务调整金额</w:t>
            </w:r>
          </w:p>
        </w:tc>
        <w:tc>
          <w:tcPr>
            <w:tcW w:w="2551" w:type="dxa"/>
            <w:vAlign w:val="center"/>
          </w:tcPr>
          <w:p>
            <w:pPr>
              <w:pStyle w:val="26"/>
            </w:pPr>
            <w:r>
              <w:t>≥500万元</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经济效益指标</w:t>
            </w:r>
          </w:p>
        </w:tc>
        <w:tc>
          <w:tcPr>
            <w:tcW w:w="2835" w:type="dxa"/>
            <w:vAlign w:val="center"/>
          </w:tcPr>
          <w:p>
            <w:pPr>
              <w:pStyle w:val="26"/>
            </w:pPr>
            <w:r>
              <w:t>促进增收节支和挽回损失</w:t>
            </w:r>
          </w:p>
        </w:tc>
        <w:tc>
          <w:tcPr>
            <w:tcW w:w="2835" w:type="dxa"/>
            <w:vAlign w:val="center"/>
          </w:tcPr>
          <w:p>
            <w:pPr>
              <w:pStyle w:val="26"/>
            </w:pPr>
            <w:r>
              <w:t>反映通过审计，促进增收</w:t>
            </w:r>
            <w:r>
              <w:rPr>
                <w:rFonts w:hint="eastAsia"/>
                <w:lang w:val="en-US" w:eastAsia="zh-CN"/>
              </w:rPr>
              <w:t>节支</w:t>
            </w:r>
            <w:r>
              <w:t>、挽回损失金额</w:t>
            </w:r>
          </w:p>
        </w:tc>
        <w:tc>
          <w:tcPr>
            <w:tcW w:w="2551" w:type="dxa"/>
            <w:vAlign w:val="center"/>
          </w:tcPr>
          <w:p>
            <w:pPr>
              <w:pStyle w:val="26"/>
            </w:pPr>
            <w:r>
              <w:t>≥1000万元</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被审计单位建立健全规章制度</w:t>
            </w:r>
          </w:p>
        </w:tc>
        <w:tc>
          <w:tcPr>
            <w:tcW w:w="2835" w:type="dxa"/>
            <w:vAlign w:val="center"/>
          </w:tcPr>
          <w:p>
            <w:pPr>
              <w:pStyle w:val="26"/>
            </w:pPr>
            <w:r>
              <w:t>反映被审计单位根据审计建议建立健全规章制度的数量</w:t>
            </w:r>
          </w:p>
        </w:tc>
        <w:tc>
          <w:tcPr>
            <w:tcW w:w="2551" w:type="dxa"/>
            <w:vAlign w:val="center"/>
          </w:tcPr>
          <w:p>
            <w:pPr>
              <w:pStyle w:val="26"/>
            </w:pPr>
            <w:r>
              <w:t>≥5项</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被审计单位制定整改措施</w:t>
            </w:r>
          </w:p>
        </w:tc>
        <w:tc>
          <w:tcPr>
            <w:tcW w:w="2835" w:type="dxa"/>
            <w:vAlign w:val="center"/>
          </w:tcPr>
          <w:p>
            <w:pPr>
              <w:pStyle w:val="26"/>
            </w:pPr>
            <w:r>
              <w:t>反映被审计单位根据审计建议制定整改措施情况</w:t>
            </w:r>
          </w:p>
        </w:tc>
        <w:tc>
          <w:tcPr>
            <w:tcW w:w="2551" w:type="dxa"/>
            <w:vAlign w:val="center"/>
          </w:tcPr>
          <w:p>
            <w:pPr>
              <w:pStyle w:val="26"/>
            </w:pPr>
            <w:r>
              <w:t>≥10项</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移送重大案件线索和事项数量</w:t>
            </w:r>
          </w:p>
        </w:tc>
        <w:tc>
          <w:tcPr>
            <w:tcW w:w="2835" w:type="dxa"/>
            <w:vAlign w:val="center"/>
          </w:tcPr>
          <w:p>
            <w:pPr>
              <w:pStyle w:val="26"/>
            </w:pPr>
            <w:r>
              <w:t>反映审计移送情况</w:t>
            </w:r>
          </w:p>
        </w:tc>
        <w:tc>
          <w:tcPr>
            <w:tcW w:w="2551" w:type="dxa"/>
            <w:vAlign w:val="center"/>
          </w:tcPr>
          <w:p>
            <w:pPr>
              <w:pStyle w:val="26"/>
            </w:pPr>
            <w:r>
              <w:t>≥1件</w:t>
            </w:r>
          </w:p>
        </w:tc>
        <w:tc>
          <w:tcPr>
            <w:tcW w:w="2268" w:type="dxa"/>
            <w:vAlign w:val="center"/>
          </w:tcPr>
          <w:p>
            <w:pPr>
              <w:pStyle w:val="26"/>
            </w:pPr>
            <w:r>
              <w:t>审计报告、移送处理书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审计违纪投诉率</w:t>
            </w:r>
          </w:p>
        </w:tc>
        <w:tc>
          <w:tcPr>
            <w:tcW w:w="2835" w:type="dxa"/>
            <w:vAlign w:val="center"/>
          </w:tcPr>
          <w:p>
            <w:pPr>
              <w:pStyle w:val="26"/>
            </w:pPr>
            <w:r>
              <w:t>在对审计人员依法审计、廉洁审计、文明审计方面投诉的审计项目数量占合部审计项目的比例</w:t>
            </w:r>
          </w:p>
        </w:tc>
        <w:tc>
          <w:tcPr>
            <w:tcW w:w="2551" w:type="dxa"/>
            <w:vAlign w:val="center"/>
          </w:tcPr>
          <w:p>
            <w:pPr>
              <w:pStyle w:val="26"/>
            </w:pPr>
            <w:r>
              <w:t>≤5%</w:t>
            </w:r>
          </w:p>
        </w:tc>
        <w:tc>
          <w:tcPr>
            <w:tcW w:w="2268" w:type="dxa"/>
            <w:vAlign w:val="center"/>
          </w:tcPr>
          <w:p>
            <w:pPr>
              <w:pStyle w:val="26"/>
            </w:pPr>
            <w:r>
              <w:t>驻厅纪检组和机关纪委数据</w:t>
            </w:r>
          </w:p>
        </w:tc>
      </w:tr>
    </w:tbl>
    <w:p>
      <w:pPr>
        <w:pStyle w:val="24"/>
      </w:pPr>
    </w:p>
    <w:p>
      <w:pPr>
        <w:pStyle w:val="24"/>
        <w:ind w:firstLine="560"/>
      </w:pPr>
      <w:r>
        <w:rPr>
          <w:rFonts w:ascii="方正仿宋_GBK" w:hAnsi="方正仿宋_GBK" w:eastAsia="方正仿宋_GBK" w:cs="方正仿宋_GBK"/>
          <w:b/>
          <w:color w:val="000000"/>
          <w:sz w:val="28"/>
        </w:rPr>
        <w:t>7、审计信息化工作经费绩效目标表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1.技术人员的驻场服务、网络线路租赁，保障审计信息系统安全运行，推进审计信息化建设。</w:t>
            </w:r>
          </w:p>
          <w:p>
            <w:pPr>
              <w:pStyle w:val="26"/>
            </w:pPr>
            <w:r>
              <w:t>2.通过对信息系统的运行维护，保障网络安全畅通，服务审计工作，提升审计工作效能。</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租赁网络线路数量</w:t>
            </w:r>
          </w:p>
        </w:tc>
        <w:tc>
          <w:tcPr>
            <w:tcW w:w="2835" w:type="dxa"/>
            <w:vAlign w:val="center"/>
          </w:tcPr>
          <w:p>
            <w:pPr>
              <w:pStyle w:val="26"/>
            </w:pPr>
            <w:r>
              <w:t>反映租赁网络线路的数量</w:t>
            </w:r>
          </w:p>
        </w:tc>
        <w:tc>
          <w:tcPr>
            <w:tcW w:w="2551" w:type="dxa"/>
            <w:vAlign w:val="center"/>
          </w:tcPr>
          <w:p>
            <w:pPr>
              <w:pStyle w:val="26"/>
            </w:pPr>
            <w:r>
              <w:t>3条</w:t>
            </w:r>
          </w:p>
        </w:tc>
        <w:tc>
          <w:tcPr>
            <w:tcW w:w="2268" w:type="dxa"/>
            <w:vAlign w:val="center"/>
          </w:tcPr>
          <w:p>
            <w:pPr>
              <w:pStyle w:val="26"/>
            </w:pPr>
            <w:r>
              <w:t>网络线路租赁协议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6"/>
            </w:pPr>
            <w:r>
              <w:t>数量指标</w:t>
            </w:r>
          </w:p>
        </w:tc>
        <w:tc>
          <w:tcPr>
            <w:tcW w:w="2835" w:type="dxa"/>
            <w:vAlign w:val="center"/>
          </w:tcPr>
          <w:p>
            <w:pPr>
              <w:pStyle w:val="26"/>
            </w:pPr>
            <w:r>
              <w:t>驻场服务人员数量</w:t>
            </w:r>
          </w:p>
        </w:tc>
        <w:tc>
          <w:tcPr>
            <w:tcW w:w="2835" w:type="dxa"/>
            <w:vAlign w:val="center"/>
          </w:tcPr>
          <w:p>
            <w:pPr>
              <w:pStyle w:val="26"/>
            </w:pPr>
            <w:r>
              <w:t>反映驻场服务的专业技术人员数量</w:t>
            </w:r>
          </w:p>
        </w:tc>
        <w:tc>
          <w:tcPr>
            <w:tcW w:w="2551" w:type="dxa"/>
            <w:vAlign w:val="center"/>
          </w:tcPr>
          <w:p>
            <w:pPr>
              <w:pStyle w:val="26"/>
            </w:pPr>
            <w:r>
              <w:t>≥7人</w:t>
            </w:r>
          </w:p>
        </w:tc>
        <w:tc>
          <w:tcPr>
            <w:tcW w:w="2268" w:type="dxa"/>
            <w:vAlign w:val="center"/>
          </w:tcPr>
          <w:p>
            <w:pPr>
              <w:pStyle w:val="26"/>
            </w:pPr>
            <w:r>
              <w:t>服务协议/合同</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6"/>
            </w:pPr>
            <w:r>
              <w:t>质量指标</w:t>
            </w:r>
          </w:p>
        </w:tc>
        <w:tc>
          <w:tcPr>
            <w:tcW w:w="2835" w:type="dxa"/>
            <w:vAlign w:val="center"/>
          </w:tcPr>
          <w:p>
            <w:pPr>
              <w:pStyle w:val="26"/>
            </w:pPr>
            <w:r>
              <w:t>驻场服务人员上岗合格率</w:t>
            </w:r>
          </w:p>
        </w:tc>
        <w:tc>
          <w:tcPr>
            <w:tcW w:w="2835" w:type="dxa"/>
            <w:vAlign w:val="center"/>
          </w:tcPr>
          <w:p>
            <w:pPr>
              <w:pStyle w:val="26"/>
            </w:pPr>
            <w:r>
              <w:t>反映驻场服务人员是否符合单位要求，合格人员占全部驻场服务人员的比率</w:t>
            </w:r>
          </w:p>
        </w:tc>
        <w:tc>
          <w:tcPr>
            <w:tcW w:w="2551" w:type="dxa"/>
            <w:vAlign w:val="center"/>
          </w:tcPr>
          <w:p>
            <w:pPr>
              <w:pStyle w:val="26"/>
            </w:pPr>
            <w:r>
              <w:t>100%</w:t>
            </w:r>
          </w:p>
        </w:tc>
        <w:tc>
          <w:tcPr>
            <w:tcW w:w="2268" w:type="dxa"/>
            <w:vAlign w:val="center"/>
          </w:tcPr>
          <w:p>
            <w:pPr>
              <w:pStyle w:val="26"/>
            </w:pPr>
            <w:r>
              <w:t>业务考评表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排除故障及时性和准确性</w:t>
            </w:r>
          </w:p>
        </w:tc>
        <w:tc>
          <w:tcPr>
            <w:tcW w:w="2835" w:type="dxa"/>
            <w:vAlign w:val="center"/>
          </w:tcPr>
          <w:p>
            <w:pPr>
              <w:pStyle w:val="26"/>
            </w:pPr>
            <w:r>
              <w:t>反映排除故障是否及时、准确</w:t>
            </w:r>
          </w:p>
        </w:tc>
        <w:tc>
          <w:tcPr>
            <w:tcW w:w="2551" w:type="dxa"/>
            <w:vAlign w:val="center"/>
          </w:tcPr>
          <w:p>
            <w:pPr>
              <w:pStyle w:val="26"/>
            </w:pPr>
            <w:r>
              <w:t>能保障正常审计工作需要</w:t>
            </w:r>
          </w:p>
        </w:tc>
        <w:tc>
          <w:tcPr>
            <w:tcW w:w="2268" w:type="dxa"/>
            <w:vAlign w:val="center"/>
          </w:tcPr>
          <w:p>
            <w:pPr>
              <w:pStyle w:val="26"/>
            </w:pPr>
            <w:r>
              <w:t>年度运行数据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专线电路租赁时间</w:t>
            </w:r>
          </w:p>
        </w:tc>
        <w:tc>
          <w:tcPr>
            <w:tcW w:w="2835" w:type="dxa"/>
            <w:vAlign w:val="center"/>
          </w:tcPr>
          <w:p>
            <w:pPr>
              <w:pStyle w:val="26"/>
            </w:pPr>
            <w:r>
              <w:t>专线电路租赁时间</w:t>
            </w:r>
          </w:p>
        </w:tc>
        <w:tc>
          <w:tcPr>
            <w:tcW w:w="2551" w:type="dxa"/>
            <w:vAlign w:val="center"/>
          </w:tcPr>
          <w:p>
            <w:pPr>
              <w:pStyle w:val="26"/>
            </w:pPr>
            <w:r>
              <w:t>1年</w:t>
            </w:r>
          </w:p>
        </w:tc>
        <w:tc>
          <w:tcPr>
            <w:tcW w:w="2268" w:type="dxa"/>
            <w:vAlign w:val="center"/>
          </w:tcPr>
          <w:p>
            <w:pPr>
              <w:pStyle w:val="26"/>
            </w:pPr>
            <w:r>
              <w:t>网络线路租赁协议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控制财政支持经费规模</w:t>
            </w:r>
          </w:p>
        </w:tc>
        <w:tc>
          <w:tcPr>
            <w:tcW w:w="2551" w:type="dxa"/>
            <w:vAlign w:val="center"/>
          </w:tcPr>
          <w:p>
            <w:pPr>
              <w:pStyle w:val="26"/>
            </w:pPr>
            <w:r>
              <w:t>≤240万元</w:t>
            </w:r>
          </w:p>
        </w:tc>
        <w:tc>
          <w:tcPr>
            <w:tcW w:w="2268" w:type="dxa"/>
            <w:vAlign w:val="center"/>
          </w:tcPr>
          <w:p>
            <w:pPr>
              <w:pStyle w:val="2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计算机技术应用覆盖率</w:t>
            </w:r>
          </w:p>
        </w:tc>
        <w:tc>
          <w:tcPr>
            <w:tcW w:w="2835" w:type="dxa"/>
            <w:vAlign w:val="center"/>
          </w:tcPr>
          <w:p>
            <w:pPr>
              <w:pStyle w:val="26"/>
            </w:pPr>
            <w:r>
              <w:t>反映审计项目中应用计算机技术占全部审计项目的比率</w:t>
            </w:r>
          </w:p>
        </w:tc>
        <w:tc>
          <w:tcPr>
            <w:tcW w:w="2551" w:type="dxa"/>
            <w:vAlign w:val="center"/>
          </w:tcPr>
          <w:p>
            <w:pPr>
              <w:pStyle w:val="26"/>
            </w:pPr>
            <w:r>
              <w:t>100%</w:t>
            </w:r>
          </w:p>
        </w:tc>
        <w:tc>
          <w:tcPr>
            <w:tcW w:w="2268" w:type="dxa"/>
            <w:vAlign w:val="center"/>
          </w:tcPr>
          <w:p>
            <w:pPr>
              <w:pStyle w:val="26"/>
            </w:pPr>
            <w:r>
              <w:t>厅2022年审计工作计划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系统无故障率</w:t>
            </w:r>
          </w:p>
        </w:tc>
        <w:tc>
          <w:tcPr>
            <w:tcW w:w="2835" w:type="dxa"/>
            <w:vAlign w:val="center"/>
          </w:tcPr>
          <w:p>
            <w:pPr>
              <w:pStyle w:val="26"/>
            </w:pPr>
            <w:r>
              <w:t>系统安全运行时间占总运行时间的比率</w:t>
            </w:r>
          </w:p>
        </w:tc>
        <w:tc>
          <w:tcPr>
            <w:tcW w:w="2551" w:type="dxa"/>
            <w:vAlign w:val="center"/>
          </w:tcPr>
          <w:p>
            <w:pPr>
              <w:pStyle w:val="26"/>
            </w:pPr>
            <w:r>
              <w:t>≥95%</w:t>
            </w:r>
          </w:p>
        </w:tc>
        <w:tc>
          <w:tcPr>
            <w:tcW w:w="2268" w:type="dxa"/>
            <w:vAlign w:val="center"/>
          </w:tcPr>
          <w:p>
            <w:pPr>
              <w:pStyle w:val="26"/>
            </w:pPr>
            <w:r>
              <w:t>设备日志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保障省、市、县三级联网安全通畅</w:t>
            </w:r>
          </w:p>
        </w:tc>
        <w:tc>
          <w:tcPr>
            <w:tcW w:w="2835" w:type="dxa"/>
            <w:vAlign w:val="center"/>
          </w:tcPr>
          <w:p>
            <w:pPr>
              <w:pStyle w:val="26"/>
            </w:pPr>
            <w:r>
              <w:t>反映省、市、县三级联网情况</w:t>
            </w:r>
          </w:p>
        </w:tc>
        <w:tc>
          <w:tcPr>
            <w:tcW w:w="2551" w:type="dxa"/>
            <w:vAlign w:val="center"/>
          </w:tcPr>
          <w:p>
            <w:pPr>
              <w:pStyle w:val="26"/>
            </w:pPr>
            <w:r>
              <w:t>能保障正常审计工作需要</w:t>
            </w:r>
          </w:p>
        </w:tc>
        <w:tc>
          <w:tcPr>
            <w:tcW w:w="2268" w:type="dxa"/>
            <w:vAlign w:val="center"/>
          </w:tcPr>
          <w:p>
            <w:pPr>
              <w:pStyle w:val="26"/>
            </w:pPr>
            <w:r>
              <w:t>年度运行数据</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审计人员对技术支持的满意度</w:t>
            </w:r>
          </w:p>
        </w:tc>
        <w:tc>
          <w:tcPr>
            <w:tcW w:w="2835" w:type="dxa"/>
            <w:vAlign w:val="center"/>
          </w:tcPr>
          <w:p>
            <w:pPr>
              <w:pStyle w:val="26"/>
            </w:pPr>
            <w:r>
              <w:t>反映审计人员对计算机技术支持的满意情况</w:t>
            </w:r>
          </w:p>
        </w:tc>
        <w:tc>
          <w:tcPr>
            <w:tcW w:w="2551" w:type="dxa"/>
            <w:vAlign w:val="center"/>
          </w:tcPr>
          <w:p>
            <w:pPr>
              <w:pStyle w:val="26"/>
            </w:pPr>
            <w:r>
              <w:t>≥95%</w:t>
            </w:r>
          </w:p>
        </w:tc>
        <w:tc>
          <w:tcPr>
            <w:tcW w:w="2268" w:type="dxa"/>
            <w:vAlign w:val="center"/>
          </w:tcPr>
          <w:p>
            <w:pPr>
              <w:pStyle w:val="26"/>
            </w:pPr>
            <w:r>
              <w:t>满意度测评表</w:t>
            </w:r>
          </w:p>
        </w:tc>
      </w:tr>
    </w:tbl>
    <w:p>
      <w:pPr>
        <w:pStyle w:val="24"/>
      </w:pPr>
    </w:p>
    <w:p>
      <w:pPr>
        <w:pStyle w:val="24"/>
        <w:ind w:firstLine="560"/>
      </w:pPr>
      <w:r>
        <w:rPr>
          <w:rFonts w:ascii="方正仿宋_GBK" w:hAnsi="方正仿宋_GBK" w:eastAsia="方正仿宋_GBK" w:cs="方正仿宋_GBK"/>
          <w:b/>
          <w:color w:val="000000"/>
          <w:sz w:val="28"/>
        </w:rPr>
        <w:t>8、信息系统运行维护（中央提前下达）绩效目标表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1.保障审计信息系统安全运行，推动河北审计信息化建设发展。</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资金执行率</w:t>
            </w:r>
          </w:p>
        </w:tc>
        <w:tc>
          <w:tcPr>
            <w:tcW w:w="2835" w:type="dxa"/>
            <w:vAlign w:val="center"/>
          </w:tcPr>
          <w:p>
            <w:pPr>
              <w:pStyle w:val="26"/>
            </w:pPr>
            <w:r>
              <w:t>反映专项资金的使用情况</w:t>
            </w:r>
          </w:p>
        </w:tc>
        <w:tc>
          <w:tcPr>
            <w:tcW w:w="2551" w:type="dxa"/>
            <w:vAlign w:val="center"/>
          </w:tcPr>
          <w:p>
            <w:pPr>
              <w:pStyle w:val="26"/>
            </w:pPr>
            <w:r>
              <w:t>≥92%</w:t>
            </w:r>
          </w:p>
        </w:tc>
        <w:tc>
          <w:tcPr>
            <w:tcW w:w="2268" w:type="dxa"/>
            <w:vAlign w:val="center"/>
          </w:tcPr>
          <w:p>
            <w:pPr>
              <w:pStyle w:val="26"/>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系统验收合格率</w:t>
            </w:r>
          </w:p>
        </w:tc>
        <w:tc>
          <w:tcPr>
            <w:tcW w:w="2835" w:type="dxa"/>
            <w:vAlign w:val="center"/>
          </w:tcPr>
          <w:p>
            <w:pPr>
              <w:pStyle w:val="26"/>
            </w:pPr>
            <w:r>
              <w:t>反映软硬件系统的验收情况</w:t>
            </w:r>
          </w:p>
        </w:tc>
        <w:tc>
          <w:tcPr>
            <w:tcW w:w="2551" w:type="dxa"/>
            <w:vAlign w:val="center"/>
          </w:tcPr>
          <w:p>
            <w:pPr>
              <w:pStyle w:val="26"/>
            </w:pPr>
            <w:r>
              <w:t>100%</w:t>
            </w:r>
          </w:p>
        </w:tc>
        <w:tc>
          <w:tcPr>
            <w:tcW w:w="2268" w:type="dxa"/>
            <w:vAlign w:val="center"/>
          </w:tcPr>
          <w:p>
            <w:pPr>
              <w:pStyle w:val="26"/>
            </w:pPr>
            <w:r>
              <w:t>服务协议或合同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系统运行无故障率</w:t>
            </w:r>
          </w:p>
        </w:tc>
        <w:tc>
          <w:tcPr>
            <w:tcW w:w="2835" w:type="dxa"/>
            <w:vAlign w:val="center"/>
          </w:tcPr>
          <w:p>
            <w:pPr>
              <w:pStyle w:val="26"/>
            </w:pPr>
            <w:r>
              <w:t>反映系统安全运行的时间占总运行时间的比率</w:t>
            </w:r>
          </w:p>
        </w:tc>
        <w:tc>
          <w:tcPr>
            <w:tcW w:w="2551" w:type="dxa"/>
            <w:vAlign w:val="center"/>
          </w:tcPr>
          <w:p>
            <w:pPr>
              <w:pStyle w:val="26"/>
            </w:pPr>
            <w:r>
              <w:t>≥95%</w:t>
            </w:r>
          </w:p>
        </w:tc>
        <w:tc>
          <w:tcPr>
            <w:tcW w:w="2268" w:type="dxa"/>
            <w:vAlign w:val="center"/>
          </w:tcPr>
          <w:p>
            <w:pPr>
              <w:pStyle w:val="26"/>
            </w:pPr>
            <w:r>
              <w:t>运行日志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排除故障及时性和准确性</w:t>
            </w:r>
          </w:p>
        </w:tc>
        <w:tc>
          <w:tcPr>
            <w:tcW w:w="2835" w:type="dxa"/>
            <w:vAlign w:val="center"/>
          </w:tcPr>
          <w:p>
            <w:pPr>
              <w:pStyle w:val="26"/>
            </w:pPr>
            <w:r>
              <w:t>反映排除故障是否及时、准确</w:t>
            </w:r>
          </w:p>
        </w:tc>
        <w:tc>
          <w:tcPr>
            <w:tcW w:w="2551" w:type="dxa"/>
            <w:vAlign w:val="center"/>
          </w:tcPr>
          <w:p>
            <w:pPr>
              <w:pStyle w:val="26"/>
            </w:pPr>
            <w:r>
              <w:t>能保障正常审计工作需要</w:t>
            </w:r>
          </w:p>
        </w:tc>
        <w:tc>
          <w:tcPr>
            <w:tcW w:w="2268" w:type="dxa"/>
            <w:vAlign w:val="center"/>
          </w:tcPr>
          <w:p>
            <w:pPr>
              <w:pStyle w:val="26"/>
            </w:pPr>
            <w:r>
              <w:t>年度运行数据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控制财政经费支持规模</w:t>
            </w:r>
          </w:p>
        </w:tc>
        <w:tc>
          <w:tcPr>
            <w:tcW w:w="2551" w:type="dxa"/>
            <w:vAlign w:val="center"/>
          </w:tcPr>
          <w:p>
            <w:pPr>
              <w:pStyle w:val="26"/>
            </w:pPr>
            <w:r>
              <w:t>≤228万元</w:t>
            </w:r>
          </w:p>
        </w:tc>
        <w:tc>
          <w:tcPr>
            <w:tcW w:w="2268" w:type="dxa"/>
            <w:vAlign w:val="center"/>
          </w:tcPr>
          <w:p>
            <w:pPr>
              <w:pStyle w:val="2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保障数据分析网运行安全畅通</w:t>
            </w:r>
          </w:p>
        </w:tc>
        <w:tc>
          <w:tcPr>
            <w:tcW w:w="2835" w:type="dxa"/>
            <w:vAlign w:val="center"/>
          </w:tcPr>
          <w:p>
            <w:pPr>
              <w:pStyle w:val="26"/>
            </w:pPr>
            <w:r>
              <w:t>反映数据分析网软、硬件安全有效运行情况</w:t>
            </w:r>
          </w:p>
        </w:tc>
        <w:tc>
          <w:tcPr>
            <w:tcW w:w="2551" w:type="dxa"/>
            <w:vAlign w:val="center"/>
          </w:tcPr>
          <w:p>
            <w:pPr>
              <w:pStyle w:val="26"/>
            </w:pPr>
            <w:r>
              <w:t>能够满足审计工作需要</w:t>
            </w:r>
          </w:p>
        </w:tc>
        <w:tc>
          <w:tcPr>
            <w:tcW w:w="2268" w:type="dxa"/>
            <w:vAlign w:val="center"/>
          </w:tcPr>
          <w:p>
            <w:pPr>
              <w:pStyle w:val="26"/>
            </w:pPr>
            <w:r>
              <w:t>服务协议或合同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审计人员对技术支持的满意度</w:t>
            </w:r>
          </w:p>
        </w:tc>
        <w:tc>
          <w:tcPr>
            <w:tcW w:w="2835" w:type="dxa"/>
            <w:vAlign w:val="center"/>
          </w:tcPr>
          <w:p>
            <w:pPr>
              <w:pStyle w:val="26"/>
            </w:pPr>
            <w:r>
              <w:t>反映审计人员对计算机技术支持的满意情况</w:t>
            </w:r>
          </w:p>
        </w:tc>
        <w:tc>
          <w:tcPr>
            <w:tcW w:w="2551" w:type="dxa"/>
            <w:vAlign w:val="center"/>
          </w:tcPr>
          <w:p>
            <w:pPr>
              <w:pStyle w:val="26"/>
            </w:pPr>
            <w:r>
              <w:t>≥95%</w:t>
            </w:r>
          </w:p>
        </w:tc>
        <w:tc>
          <w:tcPr>
            <w:tcW w:w="2268" w:type="dxa"/>
            <w:vAlign w:val="center"/>
          </w:tcPr>
          <w:p>
            <w:pPr>
              <w:pStyle w:val="26"/>
            </w:pPr>
            <w:r>
              <w:t>满意度测评表</w:t>
            </w:r>
          </w:p>
        </w:tc>
      </w:tr>
    </w:tbl>
    <w:p>
      <w:pPr>
        <w:pStyle w:val="24"/>
      </w:pPr>
    </w:p>
    <w:p>
      <w:pPr>
        <w:pStyle w:val="24"/>
        <w:ind w:firstLine="560"/>
      </w:pPr>
      <w:r>
        <w:rPr>
          <w:rFonts w:ascii="方正仿宋_GBK" w:hAnsi="方正仿宋_GBK" w:eastAsia="方正仿宋_GBK" w:cs="方正仿宋_GBK"/>
          <w:b/>
          <w:color w:val="000000"/>
          <w:sz w:val="28"/>
        </w:rPr>
        <w:t>9、电子数据审计工作经费绩效目标表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1.通过审计数据的采集、转换、整理、分析，制作审计数据模型，协助完成审计工作任务。</w:t>
            </w:r>
          </w:p>
          <w:p>
            <w:pPr>
              <w:pStyle w:val="26"/>
            </w:pPr>
            <w:r>
              <w:t>2.通过数据分析人员，对审计数据分析整理，提高审计工作效能。</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数据模型数量</w:t>
            </w:r>
          </w:p>
        </w:tc>
        <w:tc>
          <w:tcPr>
            <w:tcW w:w="2835" w:type="dxa"/>
            <w:vAlign w:val="center"/>
          </w:tcPr>
          <w:p>
            <w:pPr>
              <w:pStyle w:val="26"/>
            </w:pPr>
            <w:r>
              <w:t>反映数据分析模型的个数</w:t>
            </w:r>
          </w:p>
        </w:tc>
        <w:tc>
          <w:tcPr>
            <w:tcW w:w="2551" w:type="dxa"/>
            <w:vAlign w:val="center"/>
          </w:tcPr>
          <w:p>
            <w:pPr>
              <w:pStyle w:val="26"/>
            </w:pPr>
            <w:r>
              <w:t>≥30个</w:t>
            </w:r>
          </w:p>
        </w:tc>
        <w:tc>
          <w:tcPr>
            <w:tcW w:w="2268" w:type="dxa"/>
            <w:vAlign w:val="center"/>
          </w:tcPr>
          <w:p>
            <w:pPr>
              <w:pStyle w:val="26"/>
            </w:pPr>
            <w:r>
              <w:t>以前年度数据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6"/>
            </w:pPr>
            <w:r>
              <w:t>数量指标</w:t>
            </w:r>
          </w:p>
        </w:tc>
        <w:tc>
          <w:tcPr>
            <w:tcW w:w="2835" w:type="dxa"/>
            <w:vAlign w:val="center"/>
          </w:tcPr>
          <w:p>
            <w:pPr>
              <w:pStyle w:val="26"/>
            </w:pPr>
            <w:r>
              <w:t>驻厅数据分析人员数量</w:t>
            </w:r>
          </w:p>
        </w:tc>
        <w:tc>
          <w:tcPr>
            <w:tcW w:w="2835" w:type="dxa"/>
            <w:vAlign w:val="center"/>
          </w:tcPr>
          <w:p>
            <w:pPr>
              <w:pStyle w:val="26"/>
            </w:pPr>
            <w:r>
              <w:t>反映数据分析人员数量</w:t>
            </w:r>
          </w:p>
        </w:tc>
        <w:tc>
          <w:tcPr>
            <w:tcW w:w="2551" w:type="dxa"/>
            <w:vAlign w:val="center"/>
          </w:tcPr>
          <w:p>
            <w:pPr>
              <w:pStyle w:val="26"/>
            </w:pPr>
            <w:r>
              <w:t>≥2个</w:t>
            </w:r>
          </w:p>
        </w:tc>
        <w:tc>
          <w:tcPr>
            <w:tcW w:w="2268" w:type="dxa"/>
            <w:vAlign w:val="center"/>
          </w:tcPr>
          <w:p>
            <w:pPr>
              <w:pStyle w:val="26"/>
            </w:pPr>
            <w:r>
              <w:t>服务协议/合同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数据使用率</w:t>
            </w:r>
          </w:p>
        </w:tc>
        <w:tc>
          <w:tcPr>
            <w:tcW w:w="2835" w:type="dxa"/>
            <w:vAlign w:val="center"/>
          </w:tcPr>
          <w:p>
            <w:pPr>
              <w:pStyle w:val="26"/>
            </w:pPr>
            <w:r>
              <w:t>反映数据分析后的使用情况</w:t>
            </w:r>
          </w:p>
        </w:tc>
        <w:tc>
          <w:tcPr>
            <w:tcW w:w="2551" w:type="dxa"/>
            <w:vAlign w:val="center"/>
          </w:tcPr>
          <w:p>
            <w:pPr>
              <w:pStyle w:val="26"/>
            </w:pPr>
            <w:r>
              <w:t>≥95%</w:t>
            </w:r>
          </w:p>
        </w:tc>
        <w:tc>
          <w:tcPr>
            <w:tcW w:w="2268" w:type="dxa"/>
            <w:vAlign w:val="center"/>
          </w:tcPr>
          <w:p>
            <w:pPr>
              <w:pStyle w:val="26"/>
            </w:pPr>
            <w:r>
              <w:t>数据使用申请书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数据采集的及时性</w:t>
            </w:r>
          </w:p>
        </w:tc>
        <w:tc>
          <w:tcPr>
            <w:tcW w:w="2835" w:type="dxa"/>
            <w:vAlign w:val="center"/>
          </w:tcPr>
          <w:p>
            <w:pPr>
              <w:pStyle w:val="26"/>
            </w:pPr>
            <w:r>
              <w:t>反映数据采集是否及时</w:t>
            </w:r>
          </w:p>
        </w:tc>
        <w:tc>
          <w:tcPr>
            <w:tcW w:w="2551" w:type="dxa"/>
            <w:vAlign w:val="center"/>
          </w:tcPr>
          <w:p>
            <w:pPr>
              <w:pStyle w:val="26"/>
            </w:pPr>
            <w:r>
              <w:t>在规定的时间内将完成数据采集</w:t>
            </w:r>
          </w:p>
        </w:tc>
        <w:tc>
          <w:tcPr>
            <w:tcW w:w="2268" w:type="dxa"/>
            <w:vAlign w:val="center"/>
          </w:tcPr>
          <w:p>
            <w:pPr>
              <w:pStyle w:val="26"/>
            </w:pPr>
            <w:r>
              <w:t>厅2022年审计工作计划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控制财政经费支持规模</w:t>
            </w:r>
          </w:p>
        </w:tc>
        <w:tc>
          <w:tcPr>
            <w:tcW w:w="2551" w:type="dxa"/>
            <w:vAlign w:val="center"/>
          </w:tcPr>
          <w:p>
            <w:pPr>
              <w:pStyle w:val="26"/>
            </w:pPr>
            <w:r>
              <w:t>≤104万元</w:t>
            </w:r>
          </w:p>
        </w:tc>
        <w:tc>
          <w:tcPr>
            <w:tcW w:w="2268" w:type="dxa"/>
            <w:vAlign w:val="center"/>
          </w:tcPr>
          <w:p>
            <w:pPr>
              <w:pStyle w:val="2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可视化行业数量</w:t>
            </w:r>
          </w:p>
        </w:tc>
        <w:tc>
          <w:tcPr>
            <w:tcW w:w="2835" w:type="dxa"/>
            <w:vAlign w:val="center"/>
          </w:tcPr>
          <w:p>
            <w:pPr>
              <w:pStyle w:val="26"/>
            </w:pPr>
            <w:r>
              <w:t>通过行业数据采集，形成行业可视化</w:t>
            </w:r>
          </w:p>
        </w:tc>
        <w:tc>
          <w:tcPr>
            <w:tcW w:w="2551" w:type="dxa"/>
            <w:vAlign w:val="center"/>
          </w:tcPr>
          <w:p>
            <w:pPr>
              <w:pStyle w:val="26"/>
            </w:pPr>
            <w:r>
              <w:t>1个</w:t>
            </w:r>
          </w:p>
        </w:tc>
        <w:tc>
          <w:tcPr>
            <w:tcW w:w="2268" w:type="dxa"/>
            <w:vAlign w:val="center"/>
          </w:tcPr>
          <w:p>
            <w:pPr>
              <w:pStyle w:val="26"/>
            </w:pPr>
            <w:r>
              <w:t>厅2022年审计工作计划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数据采集率</w:t>
            </w:r>
          </w:p>
        </w:tc>
        <w:tc>
          <w:tcPr>
            <w:tcW w:w="2835" w:type="dxa"/>
            <w:vAlign w:val="center"/>
          </w:tcPr>
          <w:p>
            <w:pPr>
              <w:pStyle w:val="26"/>
            </w:pPr>
            <w:r>
              <w:t>反映已采集数据的预算单位数量占需采集数据的预算单位数量的比例</w:t>
            </w:r>
          </w:p>
        </w:tc>
        <w:tc>
          <w:tcPr>
            <w:tcW w:w="2551" w:type="dxa"/>
            <w:vAlign w:val="center"/>
          </w:tcPr>
          <w:p>
            <w:pPr>
              <w:pStyle w:val="26"/>
            </w:pPr>
            <w:r>
              <w:t>≥95%</w:t>
            </w:r>
          </w:p>
        </w:tc>
        <w:tc>
          <w:tcPr>
            <w:tcW w:w="2268" w:type="dxa"/>
            <w:vAlign w:val="center"/>
          </w:tcPr>
          <w:p>
            <w:pPr>
              <w:pStyle w:val="26"/>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数据转换率</w:t>
            </w:r>
          </w:p>
        </w:tc>
        <w:tc>
          <w:tcPr>
            <w:tcW w:w="2835" w:type="dxa"/>
            <w:vAlign w:val="center"/>
          </w:tcPr>
          <w:p>
            <w:pPr>
              <w:pStyle w:val="26"/>
            </w:pPr>
            <w:r>
              <w:t>反映已转换数据的预算单位数量占已采集数据的预算单位数量的比例</w:t>
            </w:r>
          </w:p>
        </w:tc>
        <w:tc>
          <w:tcPr>
            <w:tcW w:w="2551" w:type="dxa"/>
            <w:vAlign w:val="center"/>
          </w:tcPr>
          <w:p>
            <w:pPr>
              <w:pStyle w:val="26"/>
            </w:pPr>
            <w:r>
              <w:t>100%</w:t>
            </w:r>
          </w:p>
        </w:tc>
        <w:tc>
          <w:tcPr>
            <w:tcW w:w="2268" w:type="dxa"/>
            <w:vAlign w:val="center"/>
          </w:tcPr>
          <w:p>
            <w:pPr>
              <w:pStyle w:val="26"/>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使用人员满意度</w:t>
            </w:r>
          </w:p>
        </w:tc>
        <w:tc>
          <w:tcPr>
            <w:tcW w:w="2835" w:type="dxa"/>
            <w:vAlign w:val="center"/>
          </w:tcPr>
          <w:p>
            <w:pPr>
              <w:pStyle w:val="26"/>
            </w:pPr>
            <w:r>
              <w:t>反映使用数据分析结果的审计人员满意度</w:t>
            </w:r>
          </w:p>
        </w:tc>
        <w:tc>
          <w:tcPr>
            <w:tcW w:w="2551" w:type="dxa"/>
            <w:vAlign w:val="center"/>
          </w:tcPr>
          <w:p>
            <w:pPr>
              <w:pStyle w:val="26"/>
            </w:pPr>
            <w:r>
              <w:t>≥95%</w:t>
            </w:r>
          </w:p>
        </w:tc>
        <w:tc>
          <w:tcPr>
            <w:tcW w:w="2268" w:type="dxa"/>
            <w:vAlign w:val="center"/>
          </w:tcPr>
          <w:p>
            <w:pPr>
              <w:pStyle w:val="26"/>
            </w:pPr>
            <w:r>
              <w:t>满意度测评表</w:t>
            </w:r>
          </w:p>
        </w:tc>
      </w:tr>
    </w:tbl>
    <w:p>
      <w:pPr>
        <w:pStyle w:val="24"/>
      </w:pPr>
    </w:p>
    <w:p>
      <w:pPr>
        <w:pStyle w:val="24"/>
        <w:ind w:firstLine="560"/>
      </w:pPr>
      <w:r>
        <w:rPr>
          <w:rFonts w:ascii="方正仿宋_GBK" w:hAnsi="方正仿宋_GBK" w:eastAsia="方正仿宋_GBK" w:cs="方正仿宋_GBK"/>
          <w:b/>
          <w:color w:val="000000"/>
          <w:sz w:val="28"/>
        </w:rPr>
        <w:t>10、财政审计中心审计工作经费绩效目标表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1.独立履行审计监督职责，贯彻落实中央和省委、省政府重大决策部署，出具合格的审计报告。</w:t>
            </w:r>
          </w:p>
          <w:p>
            <w:pPr>
              <w:pStyle w:val="26"/>
            </w:pPr>
            <w:r>
              <w:t>2.严肃揭露和查处骗取、套取、贪污、侵占、挪用国家财政资金等重大违纪违法问题，及时反映财政金融方面的风险隐患，促进经济发展的质量和效益。</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审计项目数量</w:t>
            </w:r>
          </w:p>
        </w:tc>
        <w:tc>
          <w:tcPr>
            <w:tcW w:w="2835" w:type="dxa"/>
            <w:vAlign w:val="center"/>
          </w:tcPr>
          <w:p>
            <w:pPr>
              <w:pStyle w:val="26"/>
            </w:pPr>
            <w:r>
              <w:t>反映全年完成审计项目的个数</w:t>
            </w:r>
          </w:p>
        </w:tc>
        <w:tc>
          <w:tcPr>
            <w:tcW w:w="2551" w:type="dxa"/>
            <w:vAlign w:val="center"/>
          </w:tcPr>
          <w:p>
            <w:pPr>
              <w:pStyle w:val="26"/>
            </w:pPr>
            <w:r>
              <w:t>≥5个</w:t>
            </w:r>
          </w:p>
        </w:tc>
        <w:tc>
          <w:tcPr>
            <w:tcW w:w="2268" w:type="dxa"/>
            <w:vAlign w:val="center"/>
          </w:tcPr>
          <w:p>
            <w:pPr>
              <w:pStyle w:val="26"/>
            </w:pPr>
            <w:r>
              <w:t>厅2022年审计计划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6"/>
            </w:pPr>
            <w:r>
              <w:t>数量指标</w:t>
            </w:r>
          </w:p>
        </w:tc>
        <w:tc>
          <w:tcPr>
            <w:tcW w:w="2835" w:type="dxa"/>
            <w:vAlign w:val="center"/>
          </w:tcPr>
          <w:p>
            <w:pPr>
              <w:pStyle w:val="26"/>
            </w:pPr>
            <w:r>
              <w:t>审计建议数量</w:t>
            </w:r>
          </w:p>
        </w:tc>
        <w:tc>
          <w:tcPr>
            <w:tcW w:w="2835" w:type="dxa"/>
            <w:vAlign w:val="center"/>
          </w:tcPr>
          <w:p>
            <w:pPr>
              <w:pStyle w:val="26"/>
            </w:pPr>
            <w:r>
              <w:t>反映提出审计建议数量</w:t>
            </w:r>
          </w:p>
        </w:tc>
        <w:tc>
          <w:tcPr>
            <w:tcW w:w="2551" w:type="dxa"/>
            <w:vAlign w:val="center"/>
          </w:tcPr>
          <w:p>
            <w:pPr>
              <w:pStyle w:val="26"/>
            </w:pPr>
            <w:r>
              <w:t>≥10条</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6"/>
            </w:pPr>
            <w:r>
              <w:t>质量指标</w:t>
            </w:r>
          </w:p>
        </w:tc>
        <w:tc>
          <w:tcPr>
            <w:tcW w:w="2835" w:type="dxa"/>
            <w:vAlign w:val="center"/>
          </w:tcPr>
          <w:p>
            <w:pPr>
              <w:pStyle w:val="26"/>
            </w:pPr>
            <w:r>
              <w:t>审计程序合规合法性</w:t>
            </w:r>
          </w:p>
        </w:tc>
        <w:tc>
          <w:tcPr>
            <w:tcW w:w="2835" w:type="dxa"/>
            <w:vAlign w:val="center"/>
          </w:tcPr>
          <w:p>
            <w:pPr>
              <w:pStyle w:val="26"/>
            </w:pPr>
            <w:r>
              <w:t>反映审计通知书送达、审计底稿取证、审计报告征求意见、审计档案归档等情况。</w:t>
            </w:r>
          </w:p>
        </w:tc>
        <w:tc>
          <w:tcPr>
            <w:tcW w:w="2551" w:type="dxa"/>
            <w:vAlign w:val="center"/>
          </w:tcPr>
          <w:p>
            <w:pPr>
              <w:pStyle w:val="26"/>
            </w:pPr>
            <w:r>
              <w:t>通知书按时送达、底稿取证合规、资料及时归档</w:t>
            </w:r>
          </w:p>
        </w:tc>
        <w:tc>
          <w:tcPr>
            <w:tcW w:w="2268" w:type="dxa"/>
            <w:vAlign w:val="center"/>
          </w:tcPr>
          <w:p>
            <w:pPr>
              <w:pStyle w:val="26"/>
            </w:pPr>
            <w:r>
              <w:t>《中华人民共和国审计法》《中华人民共和国审计法实施条例》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审计项目按时完成率</w:t>
            </w:r>
          </w:p>
        </w:tc>
        <w:tc>
          <w:tcPr>
            <w:tcW w:w="2835" w:type="dxa"/>
            <w:vAlign w:val="center"/>
          </w:tcPr>
          <w:p>
            <w:pPr>
              <w:pStyle w:val="26"/>
            </w:pPr>
            <w:r>
              <w:t>反映审计项目是否按时完成</w:t>
            </w:r>
          </w:p>
        </w:tc>
        <w:tc>
          <w:tcPr>
            <w:tcW w:w="2551" w:type="dxa"/>
            <w:vAlign w:val="center"/>
          </w:tcPr>
          <w:p>
            <w:pPr>
              <w:pStyle w:val="26"/>
            </w:pPr>
            <w:r>
              <w:t>100%</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审计项目按时归档率</w:t>
            </w:r>
          </w:p>
        </w:tc>
        <w:tc>
          <w:tcPr>
            <w:tcW w:w="2835" w:type="dxa"/>
            <w:vAlign w:val="center"/>
          </w:tcPr>
          <w:p>
            <w:pPr>
              <w:pStyle w:val="26"/>
            </w:pPr>
            <w:r>
              <w:t>反映审计项目是否按时归档</w:t>
            </w:r>
          </w:p>
        </w:tc>
        <w:tc>
          <w:tcPr>
            <w:tcW w:w="2551" w:type="dxa"/>
            <w:vAlign w:val="center"/>
          </w:tcPr>
          <w:p>
            <w:pPr>
              <w:pStyle w:val="26"/>
            </w:pPr>
            <w:r>
              <w:t>100%</w:t>
            </w:r>
          </w:p>
        </w:tc>
        <w:tc>
          <w:tcPr>
            <w:tcW w:w="2268" w:type="dxa"/>
            <w:vAlign w:val="center"/>
          </w:tcPr>
          <w:p>
            <w:pPr>
              <w:pStyle w:val="26"/>
            </w:pPr>
            <w:r>
              <w:t>审计档案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控制财政经费支持规模</w:t>
            </w:r>
          </w:p>
        </w:tc>
        <w:tc>
          <w:tcPr>
            <w:tcW w:w="2551" w:type="dxa"/>
            <w:vAlign w:val="center"/>
          </w:tcPr>
          <w:p>
            <w:pPr>
              <w:pStyle w:val="26"/>
            </w:pPr>
            <w:r>
              <w:t>≤48.4万元</w:t>
            </w:r>
          </w:p>
        </w:tc>
        <w:tc>
          <w:tcPr>
            <w:tcW w:w="2268" w:type="dxa"/>
            <w:vAlign w:val="center"/>
          </w:tcPr>
          <w:p>
            <w:pPr>
              <w:pStyle w:val="2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促进增收</w:t>
            </w:r>
            <w:r>
              <w:rPr>
                <w:rFonts w:hint="eastAsia"/>
                <w:lang w:val="en-US" w:eastAsia="zh-CN"/>
              </w:rPr>
              <w:t>节支</w:t>
            </w:r>
            <w:r>
              <w:t>、挽回损失金额</w:t>
            </w:r>
          </w:p>
        </w:tc>
        <w:tc>
          <w:tcPr>
            <w:tcW w:w="2835" w:type="dxa"/>
            <w:vAlign w:val="center"/>
          </w:tcPr>
          <w:p>
            <w:pPr>
              <w:pStyle w:val="26"/>
            </w:pPr>
            <w:r>
              <w:t>反映通过审计，促进增收</w:t>
            </w:r>
            <w:r>
              <w:rPr>
                <w:rFonts w:hint="eastAsia"/>
                <w:lang w:val="en-US" w:eastAsia="zh-CN"/>
              </w:rPr>
              <w:t>节支</w:t>
            </w:r>
            <w:r>
              <w:t>、挽回损失金额</w:t>
            </w:r>
          </w:p>
        </w:tc>
        <w:tc>
          <w:tcPr>
            <w:tcW w:w="2551" w:type="dxa"/>
            <w:vAlign w:val="center"/>
          </w:tcPr>
          <w:p>
            <w:pPr>
              <w:pStyle w:val="26"/>
            </w:pPr>
            <w:r>
              <w:t>≥100万元</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建立健全规章制度数量</w:t>
            </w:r>
          </w:p>
        </w:tc>
        <w:tc>
          <w:tcPr>
            <w:tcW w:w="2835" w:type="dxa"/>
            <w:vAlign w:val="center"/>
          </w:tcPr>
          <w:p>
            <w:pPr>
              <w:pStyle w:val="26"/>
            </w:pPr>
            <w:r>
              <w:t>反映被审计单位根据审计建议建立健全规章制度的数量</w:t>
            </w:r>
          </w:p>
        </w:tc>
        <w:tc>
          <w:tcPr>
            <w:tcW w:w="2551" w:type="dxa"/>
            <w:vAlign w:val="center"/>
          </w:tcPr>
          <w:p>
            <w:pPr>
              <w:pStyle w:val="26"/>
            </w:pPr>
            <w:r>
              <w:t>≥3项</w:t>
            </w:r>
          </w:p>
        </w:tc>
        <w:tc>
          <w:tcPr>
            <w:tcW w:w="2268" w:type="dxa"/>
            <w:vAlign w:val="center"/>
          </w:tcPr>
          <w:p>
            <w:pPr>
              <w:pStyle w:val="26"/>
            </w:pPr>
            <w: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移送重大案件线索和事项的数量</w:t>
            </w:r>
          </w:p>
        </w:tc>
        <w:tc>
          <w:tcPr>
            <w:tcW w:w="2835" w:type="dxa"/>
            <w:vAlign w:val="center"/>
          </w:tcPr>
          <w:p>
            <w:pPr>
              <w:pStyle w:val="26"/>
            </w:pPr>
            <w:r>
              <w:t>反映审计移送情况</w:t>
            </w:r>
          </w:p>
        </w:tc>
        <w:tc>
          <w:tcPr>
            <w:tcW w:w="2551" w:type="dxa"/>
            <w:vAlign w:val="center"/>
          </w:tcPr>
          <w:p>
            <w:pPr>
              <w:pStyle w:val="26"/>
            </w:pPr>
            <w:r>
              <w:t>≥1项</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审计违纪投诉率</w:t>
            </w:r>
          </w:p>
        </w:tc>
        <w:tc>
          <w:tcPr>
            <w:tcW w:w="2835" w:type="dxa"/>
            <w:vAlign w:val="center"/>
          </w:tcPr>
          <w:p>
            <w:pPr>
              <w:pStyle w:val="26"/>
            </w:pPr>
            <w:r>
              <w:t>在对审计人员依法审计、廉洁审计、文明审计方面投诉的审计项目数量占合部审计项目的比例</w:t>
            </w:r>
          </w:p>
        </w:tc>
        <w:tc>
          <w:tcPr>
            <w:tcW w:w="2551" w:type="dxa"/>
            <w:vAlign w:val="center"/>
          </w:tcPr>
          <w:p>
            <w:pPr>
              <w:pStyle w:val="26"/>
            </w:pPr>
            <w:r>
              <w:t>≤5%</w:t>
            </w:r>
          </w:p>
        </w:tc>
        <w:tc>
          <w:tcPr>
            <w:tcW w:w="2268" w:type="dxa"/>
            <w:vAlign w:val="center"/>
          </w:tcPr>
          <w:p>
            <w:pPr>
              <w:pStyle w:val="26"/>
            </w:pPr>
            <w:r>
              <w:t>驻厅纪检组和机关纪委数据</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2022年，河北省审计厅安排政府采购预算1256.73万元。具体内容见下表。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319河北省审计厅</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1256.73</w:t>
            </w:r>
          </w:p>
        </w:tc>
        <w:tc>
          <w:tcPr>
            <w:tcW w:w="964" w:type="dxa"/>
            <w:vAlign w:val="center"/>
          </w:tcPr>
          <w:p>
            <w:pPr>
              <w:pStyle w:val="15"/>
            </w:pPr>
            <w:r>
              <w:t>1256.73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964.21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河北省审计厅本级小计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817.58</w:t>
            </w:r>
          </w:p>
        </w:tc>
        <w:tc>
          <w:tcPr>
            <w:tcW w:w="964" w:type="dxa"/>
            <w:vAlign w:val="center"/>
          </w:tcPr>
          <w:p>
            <w:pPr>
              <w:pStyle w:val="15"/>
            </w:pPr>
            <w:r>
              <w:t>817.58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765.59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其他办公设备</w:t>
            </w:r>
          </w:p>
        </w:tc>
        <w:tc>
          <w:tcPr>
            <w:tcW w:w="1134" w:type="dxa"/>
            <w:vAlign w:val="center"/>
          </w:tcPr>
          <w:p>
            <w:pPr>
              <w:pStyle w:val="12"/>
            </w:pPr>
            <w:r>
              <w:t>A020299</w:t>
            </w:r>
          </w:p>
        </w:tc>
        <w:tc>
          <w:tcPr>
            <w:tcW w:w="709" w:type="dxa"/>
            <w:vAlign w:val="center"/>
          </w:tcPr>
          <w:p>
            <w:pPr>
              <w:pStyle w:val="13"/>
            </w:pPr>
            <w:r>
              <w:t>支</w:t>
            </w:r>
          </w:p>
        </w:tc>
        <w:tc>
          <w:tcPr>
            <w:tcW w:w="850" w:type="dxa"/>
            <w:vAlign w:val="center"/>
          </w:tcPr>
          <w:p>
            <w:pPr>
              <w:pStyle w:val="11"/>
            </w:pPr>
            <w:r>
              <w:t>7</w:t>
            </w:r>
          </w:p>
        </w:tc>
        <w:tc>
          <w:tcPr>
            <w:tcW w:w="850" w:type="dxa"/>
            <w:vAlign w:val="center"/>
          </w:tcPr>
          <w:p>
            <w:pPr>
              <w:pStyle w:val="11"/>
            </w:pPr>
            <w:r>
              <w:t>0.62</w:t>
            </w:r>
          </w:p>
        </w:tc>
        <w:tc>
          <w:tcPr>
            <w:tcW w:w="964" w:type="dxa"/>
            <w:vAlign w:val="center"/>
          </w:tcPr>
          <w:p>
            <w:pPr>
              <w:pStyle w:val="11"/>
            </w:pPr>
            <w:r>
              <w:t>4.34</w:t>
            </w:r>
          </w:p>
        </w:tc>
        <w:tc>
          <w:tcPr>
            <w:tcW w:w="964" w:type="dxa"/>
            <w:vAlign w:val="center"/>
          </w:tcPr>
          <w:p>
            <w:pPr>
              <w:pStyle w:val="11"/>
            </w:pPr>
            <w:r>
              <w:t>4.34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空调机</w:t>
            </w:r>
          </w:p>
        </w:tc>
        <w:tc>
          <w:tcPr>
            <w:tcW w:w="1134" w:type="dxa"/>
            <w:vAlign w:val="center"/>
          </w:tcPr>
          <w:p>
            <w:pPr>
              <w:pStyle w:val="12"/>
            </w:pPr>
            <w:r>
              <w:t>A0206180203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1.80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普通电视设备（电视机）</w:t>
            </w:r>
          </w:p>
        </w:tc>
        <w:tc>
          <w:tcPr>
            <w:tcW w:w="1134" w:type="dxa"/>
            <w:vAlign w:val="center"/>
          </w:tcPr>
          <w:p>
            <w:pPr>
              <w:pStyle w:val="12"/>
            </w:pPr>
            <w:r>
              <w:t>A02091001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其他柜类</w:t>
            </w:r>
          </w:p>
        </w:tc>
        <w:tc>
          <w:tcPr>
            <w:tcW w:w="1134" w:type="dxa"/>
            <w:vAlign w:val="center"/>
          </w:tcPr>
          <w:p>
            <w:pPr>
              <w:pStyle w:val="12"/>
            </w:pPr>
            <w:r>
              <w:t>A060599</w:t>
            </w:r>
          </w:p>
        </w:tc>
        <w:tc>
          <w:tcPr>
            <w:tcW w:w="709" w:type="dxa"/>
            <w:vAlign w:val="center"/>
          </w:tcPr>
          <w:p>
            <w:pPr>
              <w:pStyle w:val="13"/>
            </w:pPr>
            <w:r>
              <w:t>个</w:t>
            </w:r>
          </w:p>
        </w:tc>
        <w:tc>
          <w:tcPr>
            <w:tcW w:w="850" w:type="dxa"/>
            <w:vAlign w:val="center"/>
          </w:tcPr>
          <w:p>
            <w:pPr>
              <w:pStyle w:val="11"/>
            </w:pPr>
            <w:r>
              <w:t>40</w:t>
            </w:r>
          </w:p>
        </w:tc>
        <w:tc>
          <w:tcPr>
            <w:tcW w:w="850" w:type="dxa"/>
            <w:vAlign w:val="center"/>
          </w:tcPr>
          <w:p>
            <w:pPr>
              <w:pStyle w:val="11"/>
            </w:pPr>
            <w:r>
              <w:t>0.13</w:t>
            </w:r>
          </w:p>
        </w:tc>
        <w:tc>
          <w:tcPr>
            <w:tcW w:w="964" w:type="dxa"/>
            <w:vAlign w:val="center"/>
          </w:tcPr>
          <w:p>
            <w:pPr>
              <w:pStyle w:val="11"/>
            </w:pPr>
            <w:r>
              <w:t>5.20</w:t>
            </w:r>
          </w:p>
        </w:tc>
        <w:tc>
          <w:tcPr>
            <w:tcW w:w="964" w:type="dxa"/>
            <w:vAlign w:val="center"/>
          </w:tcPr>
          <w:p>
            <w:pPr>
              <w:pStyle w:val="11"/>
            </w:pPr>
            <w:r>
              <w:t>5.20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5.20</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复印纸</w:t>
            </w:r>
          </w:p>
        </w:tc>
        <w:tc>
          <w:tcPr>
            <w:tcW w:w="1134" w:type="dxa"/>
            <w:vAlign w:val="center"/>
          </w:tcPr>
          <w:p>
            <w:pPr>
              <w:pStyle w:val="12"/>
            </w:pPr>
            <w:r>
              <w:t>A090101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车辆维修和保养服务</w:t>
            </w:r>
          </w:p>
        </w:tc>
        <w:tc>
          <w:tcPr>
            <w:tcW w:w="1134" w:type="dxa"/>
            <w:vAlign w:val="center"/>
          </w:tcPr>
          <w:p>
            <w:pPr>
              <w:pStyle w:val="12"/>
            </w:pPr>
            <w:r>
              <w:t>C050301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车辆维修和保养服务</w:t>
            </w:r>
          </w:p>
        </w:tc>
        <w:tc>
          <w:tcPr>
            <w:tcW w:w="1134" w:type="dxa"/>
            <w:vAlign w:val="center"/>
          </w:tcPr>
          <w:p>
            <w:pPr>
              <w:pStyle w:val="12"/>
            </w:pPr>
            <w:r>
              <w:t>C050301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车辆维修和保养服务</w:t>
            </w:r>
          </w:p>
        </w:tc>
        <w:tc>
          <w:tcPr>
            <w:tcW w:w="1134" w:type="dxa"/>
            <w:vAlign w:val="center"/>
          </w:tcPr>
          <w:p>
            <w:pPr>
              <w:pStyle w:val="12"/>
            </w:pPr>
            <w:r>
              <w:t>C050301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车辆加油服务</w:t>
            </w:r>
          </w:p>
        </w:tc>
        <w:tc>
          <w:tcPr>
            <w:tcW w:w="1134" w:type="dxa"/>
            <w:vAlign w:val="center"/>
          </w:tcPr>
          <w:p>
            <w:pPr>
              <w:pStyle w:val="12"/>
            </w:pPr>
            <w:r>
              <w:t>C050302</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车辆加油服务</w:t>
            </w:r>
          </w:p>
        </w:tc>
        <w:tc>
          <w:tcPr>
            <w:tcW w:w="1134" w:type="dxa"/>
            <w:vAlign w:val="center"/>
          </w:tcPr>
          <w:p>
            <w:pPr>
              <w:pStyle w:val="12"/>
            </w:pPr>
            <w:r>
              <w:t>C050302</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法律咨询服务</w:t>
            </w:r>
          </w:p>
        </w:tc>
        <w:tc>
          <w:tcPr>
            <w:tcW w:w="1134" w:type="dxa"/>
            <w:vAlign w:val="center"/>
          </w:tcPr>
          <w:p>
            <w:pPr>
              <w:pStyle w:val="12"/>
            </w:pPr>
            <w:r>
              <w:t>C080102</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审计服务</w:t>
            </w:r>
          </w:p>
        </w:tc>
        <w:tc>
          <w:tcPr>
            <w:tcW w:w="1134" w:type="dxa"/>
            <w:vAlign w:val="center"/>
          </w:tcPr>
          <w:p>
            <w:pPr>
              <w:pStyle w:val="12"/>
            </w:pPr>
            <w:r>
              <w:t>C0803</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27.00</w:t>
            </w:r>
          </w:p>
        </w:tc>
        <w:tc>
          <w:tcPr>
            <w:tcW w:w="964" w:type="dxa"/>
            <w:vAlign w:val="center"/>
          </w:tcPr>
          <w:p>
            <w:pPr>
              <w:pStyle w:val="11"/>
            </w:pPr>
            <w:r>
              <w:t>27.00</w:t>
            </w:r>
          </w:p>
        </w:tc>
        <w:tc>
          <w:tcPr>
            <w:tcW w:w="964" w:type="dxa"/>
            <w:vAlign w:val="center"/>
          </w:tcPr>
          <w:p>
            <w:pPr>
              <w:pStyle w:val="11"/>
            </w:pPr>
            <w:r>
              <w:t>27.00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其他印刷服务</w:t>
            </w:r>
          </w:p>
        </w:tc>
        <w:tc>
          <w:tcPr>
            <w:tcW w:w="1134" w:type="dxa"/>
            <w:vAlign w:val="center"/>
          </w:tcPr>
          <w:p>
            <w:pPr>
              <w:pStyle w:val="12"/>
            </w:pPr>
            <w:r>
              <w:t>C08140199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其他印刷服务</w:t>
            </w:r>
          </w:p>
        </w:tc>
        <w:tc>
          <w:tcPr>
            <w:tcW w:w="1134" w:type="dxa"/>
            <w:vAlign w:val="center"/>
          </w:tcPr>
          <w:p>
            <w:pPr>
              <w:pStyle w:val="12"/>
            </w:pPr>
            <w:r>
              <w:t>C08140199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其他印刷服务</w:t>
            </w:r>
          </w:p>
        </w:tc>
        <w:tc>
          <w:tcPr>
            <w:tcW w:w="1134" w:type="dxa"/>
            <w:vAlign w:val="center"/>
          </w:tcPr>
          <w:p>
            <w:pPr>
              <w:pStyle w:val="12"/>
            </w:pPr>
            <w:r>
              <w:t>C08140199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物业管理服务</w:t>
            </w:r>
          </w:p>
        </w:tc>
        <w:tc>
          <w:tcPr>
            <w:tcW w:w="1134" w:type="dxa"/>
            <w:vAlign w:val="center"/>
          </w:tcPr>
          <w:p>
            <w:pPr>
              <w:pStyle w:val="12"/>
            </w:pPr>
            <w:r>
              <w:t>C1204</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机动车保险服务</w:t>
            </w:r>
          </w:p>
        </w:tc>
        <w:tc>
          <w:tcPr>
            <w:tcW w:w="1134" w:type="dxa"/>
            <w:vAlign w:val="center"/>
          </w:tcPr>
          <w:p>
            <w:pPr>
              <w:pStyle w:val="12"/>
            </w:pPr>
            <w:r>
              <w:t>C15040201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3.85</w:t>
            </w:r>
          </w:p>
        </w:tc>
        <w:tc>
          <w:tcPr>
            <w:tcW w:w="964" w:type="dxa"/>
            <w:vAlign w:val="center"/>
          </w:tcPr>
          <w:p>
            <w:pPr>
              <w:pStyle w:val="11"/>
            </w:pPr>
            <w:r>
              <w:t>3.85</w:t>
            </w:r>
          </w:p>
        </w:tc>
        <w:tc>
          <w:tcPr>
            <w:tcW w:w="964" w:type="dxa"/>
            <w:vAlign w:val="center"/>
          </w:tcPr>
          <w:p>
            <w:pPr>
              <w:pStyle w:val="11"/>
            </w:pPr>
            <w:r>
              <w:t>3.85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1167.07</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48.00</w:t>
            </w:r>
          </w:p>
        </w:tc>
        <w:tc>
          <w:tcPr>
            <w:tcW w:w="964" w:type="dxa"/>
            <w:vAlign w:val="center"/>
          </w:tcPr>
          <w:p>
            <w:pPr>
              <w:pStyle w:val="11"/>
            </w:pPr>
            <w:r>
              <w:t>48.00</w:t>
            </w:r>
          </w:p>
        </w:tc>
        <w:tc>
          <w:tcPr>
            <w:tcW w:w="964" w:type="dxa"/>
            <w:vAlign w:val="center"/>
          </w:tcPr>
          <w:p>
            <w:pPr>
              <w:pStyle w:val="11"/>
            </w:pPr>
            <w:r>
              <w:t>48.00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办公用房租金</w:t>
            </w:r>
          </w:p>
        </w:tc>
        <w:tc>
          <w:tcPr>
            <w:tcW w:w="964" w:type="dxa"/>
            <w:vAlign w:val="center"/>
          </w:tcPr>
          <w:p>
            <w:pPr>
              <w:pStyle w:val="11"/>
            </w:pPr>
            <w:r>
              <w:t>67.39</w:t>
            </w:r>
          </w:p>
        </w:tc>
        <w:tc>
          <w:tcPr>
            <w:tcW w:w="1134" w:type="dxa"/>
            <w:vAlign w:val="center"/>
          </w:tcPr>
          <w:p>
            <w:pPr>
              <w:pStyle w:val="12"/>
            </w:pPr>
            <w:r>
              <w:t>房屋租赁服务</w:t>
            </w:r>
          </w:p>
        </w:tc>
        <w:tc>
          <w:tcPr>
            <w:tcW w:w="1134" w:type="dxa"/>
            <w:vAlign w:val="center"/>
          </w:tcPr>
          <w:p>
            <w:pPr>
              <w:pStyle w:val="12"/>
            </w:pPr>
            <w:r>
              <w:t>C1202</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67.39</w:t>
            </w:r>
          </w:p>
        </w:tc>
        <w:tc>
          <w:tcPr>
            <w:tcW w:w="964" w:type="dxa"/>
            <w:vAlign w:val="center"/>
          </w:tcPr>
          <w:p>
            <w:pPr>
              <w:pStyle w:val="11"/>
            </w:pPr>
            <w:r>
              <w:t>67.39</w:t>
            </w:r>
          </w:p>
        </w:tc>
        <w:tc>
          <w:tcPr>
            <w:tcW w:w="964" w:type="dxa"/>
            <w:vAlign w:val="center"/>
          </w:tcPr>
          <w:p>
            <w:pPr>
              <w:pStyle w:val="11"/>
            </w:pPr>
            <w:r>
              <w:t>67.39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67.39</w:t>
            </w:r>
          </w:p>
        </w:tc>
      </w:tr>
      <w:tr>
        <w:tblPrEx>
          <w:tblCellMar>
            <w:top w:w="0" w:type="dxa"/>
            <w:left w:w="108" w:type="dxa"/>
            <w:bottom w:w="0" w:type="dxa"/>
            <w:right w:w="108" w:type="dxa"/>
          </w:tblCellMar>
        </w:tblPrEx>
        <w:trPr>
          <w:cantSplit/>
          <w:jc w:val="center"/>
        </w:trPr>
        <w:tc>
          <w:tcPr>
            <w:tcW w:w="1701" w:type="dxa"/>
            <w:vAlign w:val="center"/>
          </w:tcPr>
          <w:p>
            <w:pPr>
              <w:pStyle w:val="12"/>
            </w:pPr>
            <w:r>
              <w:t>审计工作专项经费</w:t>
            </w:r>
          </w:p>
        </w:tc>
        <w:tc>
          <w:tcPr>
            <w:tcW w:w="964" w:type="dxa"/>
            <w:vAlign w:val="center"/>
          </w:tcPr>
          <w:p>
            <w:pPr>
              <w:pStyle w:val="11"/>
            </w:pPr>
            <w:r>
              <w:t>2586.00</w:t>
            </w:r>
          </w:p>
        </w:tc>
        <w:tc>
          <w:tcPr>
            <w:tcW w:w="1134" w:type="dxa"/>
            <w:vAlign w:val="center"/>
          </w:tcPr>
          <w:p>
            <w:pPr>
              <w:pStyle w:val="12"/>
            </w:pPr>
            <w:r>
              <w:t>审计服务</w:t>
            </w:r>
          </w:p>
        </w:tc>
        <w:tc>
          <w:tcPr>
            <w:tcW w:w="1134" w:type="dxa"/>
            <w:vAlign w:val="center"/>
          </w:tcPr>
          <w:p>
            <w:pPr>
              <w:pStyle w:val="12"/>
            </w:pPr>
            <w:r>
              <w:t>C0803</w:t>
            </w:r>
          </w:p>
        </w:tc>
        <w:tc>
          <w:tcPr>
            <w:tcW w:w="709" w:type="dxa"/>
            <w:vAlign w:val="center"/>
          </w:tcPr>
          <w:p>
            <w:pPr>
              <w:pStyle w:val="13"/>
            </w:pPr>
            <w:r>
              <w:t>批</w:t>
            </w:r>
          </w:p>
        </w:tc>
        <w:tc>
          <w:tcPr>
            <w:tcW w:w="850" w:type="dxa"/>
            <w:vAlign w:val="center"/>
          </w:tcPr>
          <w:p>
            <w:pPr>
              <w:pStyle w:val="11"/>
            </w:pPr>
            <w:r>
              <w:t>2</w:t>
            </w:r>
          </w:p>
        </w:tc>
        <w:tc>
          <w:tcPr>
            <w:tcW w:w="850" w:type="dxa"/>
            <w:vAlign w:val="center"/>
          </w:tcPr>
          <w:p>
            <w:pPr>
              <w:pStyle w:val="11"/>
            </w:pPr>
            <w:r>
              <w:t>250.00</w:t>
            </w:r>
          </w:p>
        </w:tc>
        <w:tc>
          <w:tcPr>
            <w:tcW w:w="964" w:type="dxa"/>
            <w:vAlign w:val="center"/>
          </w:tcPr>
          <w:p>
            <w:pPr>
              <w:pStyle w:val="11"/>
            </w:pPr>
            <w:r>
              <w:t>500.00</w:t>
            </w:r>
          </w:p>
        </w:tc>
        <w:tc>
          <w:tcPr>
            <w:tcW w:w="964" w:type="dxa"/>
            <w:vAlign w:val="center"/>
          </w:tcPr>
          <w:p>
            <w:pPr>
              <w:pStyle w:val="11"/>
            </w:pPr>
            <w:r>
              <w:t>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河北省公共投资审计服务中心小计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13.96</w:t>
            </w:r>
          </w:p>
        </w:tc>
        <w:tc>
          <w:tcPr>
            <w:tcW w:w="964" w:type="dxa"/>
            <w:vAlign w:val="center"/>
          </w:tcPr>
          <w:p>
            <w:pPr>
              <w:pStyle w:val="15"/>
            </w:pPr>
            <w:r>
              <w:t>13.96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63.03</w:t>
            </w:r>
          </w:p>
        </w:tc>
        <w:tc>
          <w:tcPr>
            <w:tcW w:w="1134" w:type="dxa"/>
            <w:vAlign w:val="center"/>
          </w:tcPr>
          <w:p>
            <w:pPr>
              <w:pStyle w:val="12"/>
            </w:pPr>
            <w:r>
              <w:t>装订机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63.03</w:t>
            </w:r>
          </w:p>
        </w:tc>
        <w:tc>
          <w:tcPr>
            <w:tcW w:w="1134" w:type="dxa"/>
            <w:vAlign w:val="center"/>
          </w:tcPr>
          <w:p>
            <w:pPr>
              <w:pStyle w:val="12"/>
            </w:pPr>
            <w:r>
              <w:t>木制台、桌类</w:t>
            </w:r>
          </w:p>
        </w:tc>
        <w:tc>
          <w:tcPr>
            <w:tcW w:w="1134" w:type="dxa"/>
            <w:vAlign w:val="center"/>
          </w:tcPr>
          <w:p>
            <w:pPr>
              <w:pStyle w:val="12"/>
            </w:pPr>
            <w:r>
              <w:t>A060205</w:t>
            </w:r>
          </w:p>
        </w:tc>
        <w:tc>
          <w:tcPr>
            <w:tcW w:w="709" w:type="dxa"/>
            <w:vAlign w:val="center"/>
          </w:tcPr>
          <w:p>
            <w:pPr>
              <w:pStyle w:val="13"/>
            </w:pPr>
            <w:r>
              <w:t>张</w:t>
            </w:r>
          </w:p>
        </w:tc>
        <w:tc>
          <w:tcPr>
            <w:tcW w:w="850" w:type="dxa"/>
            <w:vAlign w:val="center"/>
          </w:tcPr>
          <w:p>
            <w:pPr>
              <w:pStyle w:val="11"/>
            </w:pPr>
            <w:r>
              <w:t>10</w:t>
            </w:r>
          </w:p>
        </w:tc>
        <w:tc>
          <w:tcPr>
            <w:tcW w:w="850" w:type="dxa"/>
            <w:vAlign w:val="center"/>
          </w:tcPr>
          <w:p>
            <w:pPr>
              <w:pStyle w:val="11"/>
            </w:pPr>
            <w:r>
              <w:t>0.20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63.03</w:t>
            </w:r>
          </w:p>
        </w:tc>
        <w:tc>
          <w:tcPr>
            <w:tcW w:w="1134" w:type="dxa"/>
            <w:vAlign w:val="center"/>
          </w:tcPr>
          <w:p>
            <w:pPr>
              <w:pStyle w:val="12"/>
            </w:pPr>
            <w:r>
              <w:t>木制台、桌类</w:t>
            </w:r>
          </w:p>
        </w:tc>
        <w:tc>
          <w:tcPr>
            <w:tcW w:w="1134" w:type="dxa"/>
            <w:vAlign w:val="center"/>
          </w:tcPr>
          <w:p>
            <w:pPr>
              <w:pStyle w:val="12"/>
            </w:pPr>
            <w:r>
              <w:t>A060205</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0.04</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63.03</w:t>
            </w:r>
          </w:p>
        </w:tc>
        <w:tc>
          <w:tcPr>
            <w:tcW w:w="1134" w:type="dxa"/>
            <w:vAlign w:val="center"/>
          </w:tcPr>
          <w:p>
            <w:pPr>
              <w:pStyle w:val="12"/>
            </w:pPr>
            <w:r>
              <w:t>木骨架为主的椅凳类</w:t>
            </w:r>
          </w:p>
        </w:tc>
        <w:tc>
          <w:tcPr>
            <w:tcW w:w="1134" w:type="dxa"/>
            <w:vAlign w:val="center"/>
          </w:tcPr>
          <w:p>
            <w:pPr>
              <w:pStyle w:val="12"/>
            </w:pPr>
            <w:r>
              <w:t>A060302</w:t>
            </w:r>
          </w:p>
        </w:tc>
        <w:tc>
          <w:tcPr>
            <w:tcW w:w="709" w:type="dxa"/>
            <w:vAlign w:val="center"/>
          </w:tcPr>
          <w:p>
            <w:pPr>
              <w:pStyle w:val="13"/>
            </w:pPr>
            <w:r>
              <w:t>把</w:t>
            </w:r>
          </w:p>
        </w:tc>
        <w:tc>
          <w:tcPr>
            <w:tcW w:w="850" w:type="dxa"/>
            <w:vAlign w:val="center"/>
          </w:tcPr>
          <w:p>
            <w:pPr>
              <w:pStyle w:val="11"/>
            </w:pPr>
            <w:r>
              <w:t>16</w:t>
            </w:r>
          </w:p>
        </w:tc>
        <w:tc>
          <w:tcPr>
            <w:tcW w:w="850" w:type="dxa"/>
            <w:vAlign w:val="center"/>
          </w:tcPr>
          <w:p>
            <w:pPr>
              <w:pStyle w:val="11"/>
            </w:pPr>
            <w:r>
              <w:t>0.05</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63.03</w:t>
            </w:r>
          </w:p>
        </w:tc>
        <w:tc>
          <w:tcPr>
            <w:tcW w:w="1134" w:type="dxa"/>
            <w:vAlign w:val="center"/>
          </w:tcPr>
          <w:p>
            <w:pPr>
              <w:pStyle w:val="12"/>
            </w:pPr>
            <w:r>
              <w:t>木骨架沙发类</w:t>
            </w:r>
          </w:p>
        </w:tc>
        <w:tc>
          <w:tcPr>
            <w:tcW w:w="1134" w:type="dxa"/>
            <w:vAlign w:val="center"/>
          </w:tcPr>
          <w:p>
            <w:pPr>
              <w:pStyle w:val="12"/>
            </w:pPr>
            <w:r>
              <w:t>A060402</w:t>
            </w:r>
          </w:p>
        </w:tc>
        <w:tc>
          <w:tcPr>
            <w:tcW w:w="709" w:type="dxa"/>
            <w:vAlign w:val="center"/>
          </w:tcPr>
          <w:p>
            <w:pPr>
              <w:pStyle w:val="13"/>
            </w:pPr>
            <w:r>
              <w:t>个</w:t>
            </w:r>
          </w:p>
        </w:tc>
        <w:tc>
          <w:tcPr>
            <w:tcW w:w="850" w:type="dxa"/>
            <w:vAlign w:val="center"/>
          </w:tcPr>
          <w:p>
            <w:pPr>
              <w:pStyle w:val="11"/>
            </w:pPr>
            <w:r>
              <w:t>4</w:t>
            </w:r>
          </w:p>
        </w:tc>
        <w:tc>
          <w:tcPr>
            <w:tcW w:w="850" w:type="dxa"/>
            <w:vAlign w:val="center"/>
          </w:tcPr>
          <w:p>
            <w:pPr>
              <w:pStyle w:val="11"/>
            </w:pPr>
            <w:r>
              <w:t>0.08</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63.03</w:t>
            </w:r>
          </w:p>
        </w:tc>
        <w:tc>
          <w:tcPr>
            <w:tcW w:w="1134" w:type="dxa"/>
            <w:vAlign w:val="center"/>
          </w:tcPr>
          <w:p>
            <w:pPr>
              <w:pStyle w:val="12"/>
            </w:pPr>
            <w:r>
              <w:t>其他柜类</w:t>
            </w:r>
          </w:p>
        </w:tc>
        <w:tc>
          <w:tcPr>
            <w:tcW w:w="1134" w:type="dxa"/>
            <w:vAlign w:val="center"/>
          </w:tcPr>
          <w:p>
            <w:pPr>
              <w:pStyle w:val="12"/>
            </w:pPr>
            <w:r>
              <w:t>A060599</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0.13</w:t>
            </w:r>
          </w:p>
        </w:tc>
        <w:tc>
          <w:tcPr>
            <w:tcW w:w="964" w:type="dxa"/>
            <w:vAlign w:val="center"/>
          </w:tcPr>
          <w:p>
            <w:pPr>
              <w:pStyle w:val="11"/>
            </w:pPr>
            <w:r>
              <w:t>0.26</w:t>
            </w:r>
          </w:p>
        </w:tc>
        <w:tc>
          <w:tcPr>
            <w:tcW w:w="964" w:type="dxa"/>
            <w:vAlign w:val="center"/>
          </w:tcPr>
          <w:p>
            <w:pPr>
              <w:pStyle w:val="11"/>
            </w:pPr>
            <w:r>
              <w:t>0.26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63.03</w:t>
            </w:r>
          </w:p>
        </w:tc>
        <w:tc>
          <w:tcPr>
            <w:tcW w:w="1134" w:type="dxa"/>
            <w:vAlign w:val="center"/>
          </w:tcPr>
          <w:p>
            <w:pPr>
              <w:pStyle w:val="12"/>
            </w:pPr>
            <w:r>
              <w:t>复印纸</w:t>
            </w:r>
          </w:p>
        </w:tc>
        <w:tc>
          <w:tcPr>
            <w:tcW w:w="1134" w:type="dxa"/>
            <w:vAlign w:val="center"/>
          </w:tcPr>
          <w:p>
            <w:pPr>
              <w:pStyle w:val="12"/>
            </w:pPr>
            <w:r>
              <w:t>A090101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63.03</w:t>
            </w:r>
          </w:p>
        </w:tc>
        <w:tc>
          <w:tcPr>
            <w:tcW w:w="1134" w:type="dxa"/>
            <w:vAlign w:val="center"/>
          </w:tcPr>
          <w:p>
            <w:pPr>
              <w:pStyle w:val="12"/>
            </w:pPr>
            <w:r>
              <w:t>物业管理服务</w:t>
            </w:r>
          </w:p>
        </w:tc>
        <w:tc>
          <w:tcPr>
            <w:tcW w:w="1134" w:type="dxa"/>
            <w:vAlign w:val="center"/>
          </w:tcPr>
          <w:p>
            <w:pPr>
              <w:pStyle w:val="12"/>
            </w:pPr>
            <w:r>
              <w:t>C1204</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9.00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河北省审计厅计算机信息审计中心小计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399.56</w:t>
            </w:r>
          </w:p>
        </w:tc>
        <w:tc>
          <w:tcPr>
            <w:tcW w:w="964" w:type="dxa"/>
            <w:vAlign w:val="center"/>
          </w:tcPr>
          <w:p>
            <w:pPr>
              <w:pStyle w:val="15"/>
            </w:pPr>
            <w:r>
              <w:t>399.56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78.87</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78.87</w:t>
            </w:r>
          </w:p>
        </w:tc>
        <w:tc>
          <w:tcPr>
            <w:tcW w:w="1134" w:type="dxa"/>
            <w:vAlign w:val="center"/>
          </w:tcPr>
          <w:p>
            <w:pPr>
              <w:pStyle w:val="12"/>
            </w:pPr>
            <w:r>
              <w:t>碎纸机</w:t>
            </w:r>
          </w:p>
        </w:tc>
        <w:tc>
          <w:tcPr>
            <w:tcW w:w="1134" w:type="dxa"/>
            <w:vAlign w:val="center"/>
          </w:tcPr>
          <w:p>
            <w:pPr>
              <w:pStyle w:val="12"/>
            </w:pPr>
            <w:r>
              <w:t>A02021101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78.87</w:t>
            </w:r>
          </w:p>
        </w:tc>
        <w:tc>
          <w:tcPr>
            <w:tcW w:w="1134" w:type="dxa"/>
            <w:vAlign w:val="center"/>
          </w:tcPr>
          <w:p>
            <w:pPr>
              <w:pStyle w:val="12"/>
            </w:pPr>
            <w:r>
              <w:t>其他柜类</w:t>
            </w:r>
          </w:p>
        </w:tc>
        <w:tc>
          <w:tcPr>
            <w:tcW w:w="1134" w:type="dxa"/>
            <w:vAlign w:val="center"/>
          </w:tcPr>
          <w:p>
            <w:pPr>
              <w:pStyle w:val="12"/>
            </w:pPr>
            <w:r>
              <w:t>A060599</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0.13</w:t>
            </w:r>
          </w:p>
        </w:tc>
        <w:tc>
          <w:tcPr>
            <w:tcW w:w="964" w:type="dxa"/>
            <w:vAlign w:val="center"/>
          </w:tcPr>
          <w:p>
            <w:pPr>
              <w:pStyle w:val="11"/>
            </w:pPr>
            <w:r>
              <w:t>0.26</w:t>
            </w:r>
          </w:p>
        </w:tc>
        <w:tc>
          <w:tcPr>
            <w:tcW w:w="964" w:type="dxa"/>
            <w:vAlign w:val="center"/>
          </w:tcPr>
          <w:p>
            <w:pPr>
              <w:pStyle w:val="11"/>
            </w:pPr>
            <w:r>
              <w:t>0.26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78.87</w:t>
            </w:r>
          </w:p>
        </w:tc>
        <w:tc>
          <w:tcPr>
            <w:tcW w:w="1134" w:type="dxa"/>
            <w:vAlign w:val="center"/>
          </w:tcPr>
          <w:p>
            <w:pPr>
              <w:pStyle w:val="12"/>
            </w:pPr>
            <w:r>
              <w:t>复印纸</w:t>
            </w:r>
          </w:p>
        </w:tc>
        <w:tc>
          <w:tcPr>
            <w:tcW w:w="1134" w:type="dxa"/>
            <w:vAlign w:val="center"/>
          </w:tcPr>
          <w:p>
            <w:pPr>
              <w:pStyle w:val="12"/>
            </w:pPr>
            <w:r>
              <w:t>A090101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78.87</w:t>
            </w:r>
          </w:p>
        </w:tc>
        <w:tc>
          <w:tcPr>
            <w:tcW w:w="1134" w:type="dxa"/>
            <w:vAlign w:val="center"/>
          </w:tcPr>
          <w:p>
            <w:pPr>
              <w:pStyle w:val="12"/>
            </w:pPr>
            <w:r>
              <w:t>物业管理服务</w:t>
            </w:r>
          </w:p>
        </w:tc>
        <w:tc>
          <w:tcPr>
            <w:tcW w:w="1134" w:type="dxa"/>
            <w:vAlign w:val="center"/>
          </w:tcPr>
          <w:p>
            <w:pPr>
              <w:pStyle w:val="12"/>
            </w:pPr>
            <w:r>
              <w:t>C1204</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9.00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审计信息化工作经费</w:t>
            </w:r>
          </w:p>
        </w:tc>
        <w:tc>
          <w:tcPr>
            <w:tcW w:w="964" w:type="dxa"/>
            <w:vAlign w:val="center"/>
          </w:tcPr>
          <w:p>
            <w:pPr>
              <w:pStyle w:val="11"/>
            </w:pPr>
            <w:r>
              <w:t>240.00</w:t>
            </w:r>
          </w:p>
        </w:tc>
        <w:tc>
          <w:tcPr>
            <w:tcW w:w="1134" w:type="dxa"/>
            <w:vAlign w:val="center"/>
          </w:tcPr>
          <w:p>
            <w:pPr>
              <w:pStyle w:val="12"/>
            </w:pPr>
            <w:r>
              <w:t>其他运行维护服务</w:t>
            </w:r>
          </w:p>
        </w:tc>
        <w:tc>
          <w:tcPr>
            <w:tcW w:w="1134" w:type="dxa"/>
            <w:vAlign w:val="center"/>
          </w:tcPr>
          <w:p>
            <w:pPr>
              <w:pStyle w:val="12"/>
            </w:pPr>
            <w:r>
              <w:t>C020699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90.00</w:t>
            </w:r>
          </w:p>
        </w:tc>
        <w:tc>
          <w:tcPr>
            <w:tcW w:w="964" w:type="dxa"/>
            <w:vAlign w:val="center"/>
          </w:tcPr>
          <w:p>
            <w:pPr>
              <w:pStyle w:val="11"/>
            </w:pPr>
            <w:r>
              <w:t>90.00</w:t>
            </w:r>
          </w:p>
        </w:tc>
        <w:tc>
          <w:tcPr>
            <w:tcW w:w="964" w:type="dxa"/>
            <w:vAlign w:val="center"/>
          </w:tcPr>
          <w:p>
            <w:pPr>
              <w:pStyle w:val="11"/>
            </w:pPr>
            <w:r>
              <w:t>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90.00</w:t>
            </w:r>
          </w:p>
        </w:tc>
      </w:tr>
      <w:tr>
        <w:tblPrEx>
          <w:tblCellMar>
            <w:top w:w="0" w:type="dxa"/>
            <w:left w:w="108" w:type="dxa"/>
            <w:bottom w:w="0" w:type="dxa"/>
            <w:right w:w="108" w:type="dxa"/>
          </w:tblCellMar>
        </w:tblPrEx>
        <w:trPr>
          <w:cantSplit/>
          <w:jc w:val="center"/>
        </w:trPr>
        <w:tc>
          <w:tcPr>
            <w:tcW w:w="1701" w:type="dxa"/>
            <w:vAlign w:val="center"/>
          </w:tcPr>
          <w:p>
            <w:pPr>
              <w:pStyle w:val="12"/>
            </w:pPr>
            <w:r>
              <w:t>审计信息化工作经费</w:t>
            </w:r>
          </w:p>
        </w:tc>
        <w:tc>
          <w:tcPr>
            <w:tcW w:w="964" w:type="dxa"/>
            <w:vAlign w:val="center"/>
          </w:tcPr>
          <w:p>
            <w:pPr>
              <w:pStyle w:val="11"/>
            </w:pPr>
            <w:r>
              <w:t>240.00</w:t>
            </w:r>
          </w:p>
        </w:tc>
        <w:tc>
          <w:tcPr>
            <w:tcW w:w="1134" w:type="dxa"/>
            <w:vAlign w:val="center"/>
          </w:tcPr>
          <w:p>
            <w:pPr>
              <w:pStyle w:val="12"/>
            </w:pPr>
            <w:r>
              <w:t>其他运行维护服务</w:t>
            </w:r>
          </w:p>
        </w:tc>
        <w:tc>
          <w:tcPr>
            <w:tcW w:w="1134" w:type="dxa"/>
            <w:vAlign w:val="center"/>
          </w:tcPr>
          <w:p>
            <w:pPr>
              <w:pStyle w:val="12"/>
            </w:pPr>
            <w:r>
              <w:t>C020699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70.00</w:t>
            </w:r>
          </w:p>
        </w:tc>
        <w:tc>
          <w:tcPr>
            <w:tcW w:w="964" w:type="dxa"/>
            <w:vAlign w:val="center"/>
          </w:tcPr>
          <w:p>
            <w:pPr>
              <w:pStyle w:val="11"/>
            </w:pPr>
            <w:r>
              <w:t>70.00</w:t>
            </w:r>
          </w:p>
        </w:tc>
        <w:tc>
          <w:tcPr>
            <w:tcW w:w="964" w:type="dxa"/>
            <w:vAlign w:val="center"/>
          </w:tcPr>
          <w:p>
            <w:pPr>
              <w:pStyle w:val="11"/>
            </w:pPr>
            <w:r>
              <w:t>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信息系统运行维护（中央提前下达）</w:t>
            </w:r>
          </w:p>
        </w:tc>
        <w:tc>
          <w:tcPr>
            <w:tcW w:w="964" w:type="dxa"/>
            <w:vAlign w:val="center"/>
          </w:tcPr>
          <w:p>
            <w:pPr>
              <w:pStyle w:val="11"/>
            </w:pPr>
            <w:r>
              <w:t>228.00</w:t>
            </w:r>
          </w:p>
        </w:tc>
        <w:tc>
          <w:tcPr>
            <w:tcW w:w="1134" w:type="dxa"/>
            <w:vAlign w:val="center"/>
          </w:tcPr>
          <w:p>
            <w:pPr>
              <w:pStyle w:val="12"/>
            </w:pPr>
            <w:r>
              <w:t>密码产品</w:t>
            </w:r>
          </w:p>
        </w:tc>
        <w:tc>
          <w:tcPr>
            <w:tcW w:w="1134" w:type="dxa"/>
            <w:vAlign w:val="center"/>
          </w:tcPr>
          <w:p>
            <w:pPr>
              <w:pStyle w:val="12"/>
            </w:pPr>
            <w:r>
              <w:t>A02010312</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信息系统运行维护（中央提前下达）</w:t>
            </w:r>
          </w:p>
        </w:tc>
        <w:tc>
          <w:tcPr>
            <w:tcW w:w="964" w:type="dxa"/>
            <w:vAlign w:val="center"/>
          </w:tcPr>
          <w:p>
            <w:pPr>
              <w:pStyle w:val="11"/>
            </w:pPr>
            <w:r>
              <w:t>228.00</w:t>
            </w:r>
          </w:p>
        </w:tc>
        <w:tc>
          <w:tcPr>
            <w:tcW w:w="1134" w:type="dxa"/>
            <w:vAlign w:val="center"/>
          </w:tcPr>
          <w:p>
            <w:pPr>
              <w:pStyle w:val="12"/>
            </w:pPr>
            <w:r>
              <w:t>密码产品</w:t>
            </w:r>
          </w:p>
        </w:tc>
        <w:tc>
          <w:tcPr>
            <w:tcW w:w="1134" w:type="dxa"/>
            <w:vAlign w:val="center"/>
          </w:tcPr>
          <w:p>
            <w:pPr>
              <w:pStyle w:val="12"/>
            </w:pPr>
            <w:r>
              <w:t>A02010312</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信息系统运行维护（中央提前下达）</w:t>
            </w:r>
          </w:p>
        </w:tc>
        <w:tc>
          <w:tcPr>
            <w:tcW w:w="964" w:type="dxa"/>
            <w:vAlign w:val="center"/>
          </w:tcPr>
          <w:p>
            <w:pPr>
              <w:pStyle w:val="11"/>
            </w:pPr>
            <w:r>
              <w:t>228.00</w:t>
            </w:r>
          </w:p>
        </w:tc>
        <w:tc>
          <w:tcPr>
            <w:tcW w:w="1134" w:type="dxa"/>
            <w:vAlign w:val="center"/>
          </w:tcPr>
          <w:p>
            <w:pPr>
              <w:pStyle w:val="12"/>
            </w:pPr>
            <w:r>
              <w:t>信息安全软件</w:t>
            </w:r>
          </w:p>
        </w:tc>
        <w:tc>
          <w:tcPr>
            <w:tcW w:w="1134" w:type="dxa"/>
            <w:vAlign w:val="center"/>
          </w:tcPr>
          <w:p>
            <w:pPr>
              <w:pStyle w:val="12"/>
            </w:pPr>
            <w:r>
              <w:t>A02010805</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信息系统运行维护（中央提前下达）</w:t>
            </w:r>
          </w:p>
        </w:tc>
        <w:tc>
          <w:tcPr>
            <w:tcW w:w="964" w:type="dxa"/>
            <w:vAlign w:val="center"/>
          </w:tcPr>
          <w:p>
            <w:pPr>
              <w:pStyle w:val="11"/>
            </w:pPr>
            <w:r>
              <w:t>228.00</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0.98</w:t>
            </w:r>
          </w:p>
        </w:tc>
        <w:tc>
          <w:tcPr>
            <w:tcW w:w="964" w:type="dxa"/>
            <w:vAlign w:val="center"/>
          </w:tcPr>
          <w:p>
            <w:pPr>
              <w:pStyle w:val="11"/>
            </w:pPr>
            <w:r>
              <w:t>0.98</w:t>
            </w:r>
          </w:p>
        </w:tc>
        <w:tc>
          <w:tcPr>
            <w:tcW w:w="964" w:type="dxa"/>
            <w:vAlign w:val="center"/>
          </w:tcPr>
          <w:p>
            <w:pPr>
              <w:pStyle w:val="11"/>
            </w:pPr>
            <w:r>
              <w:t>0.98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信息系统运行维护（中央提前下达）</w:t>
            </w:r>
          </w:p>
        </w:tc>
        <w:tc>
          <w:tcPr>
            <w:tcW w:w="964" w:type="dxa"/>
            <w:vAlign w:val="center"/>
          </w:tcPr>
          <w:p>
            <w:pPr>
              <w:pStyle w:val="11"/>
            </w:pPr>
            <w:r>
              <w:t>228.00</w:t>
            </w:r>
          </w:p>
        </w:tc>
        <w:tc>
          <w:tcPr>
            <w:tcW w:w="1134" w:type="dxa"/>
            <w:vAlign w:val="center"/>
          </w:tcPr>
          <w:p>
            <w:pPr>
              <w:pStyle w:val="12"/>
            </w:pPr>
            <w:r>
              <w:t>其他运行维护服务</w:t>
            </w:r>
          </w:p>
        </w:tc>
        <w:tc>
          <w:tcPr>
            <w:tcW w:w="1134" w:type="dxa"/>
            <w:vAlign w:val="center"/>
          </w:tcPr>
          <w:p>
            <w:pPr>
              <w:pStyle w:val="12"/>
            </w:pPr>
            <w:r>
              <w:t>C020699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140.00</w:t>
            </w:r>
          </w:p>
        </w:tc>
        <w:tc>
          <w:tcPr>
            <w:tcW w:w="964" w:type="dxa"/>
            <w:vAlign w:val="center"/>
          </w:tcPr>
          <w:p>
            <w:pPr>
              <w:pStyle w:val="11"/>
            </w:pPr>
            <w:r>
              <w:t>140.00</w:t>
            </w:r>
          </w:p>
        </w:tc>
        <w:tc>
          <w:tcPr>
            <w:tcW w:w="964" w:type="dxa"/>
            <w:vAlign w:val="center"/>
          </w:tcPr>
          <w:p>
            <w:pPr>
              <w:pStyle w:val="11"/>
            </w:pPr>
            <w:r>
              <w:t>140.00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信息系统运行维护（中央提前下达）</w:t>
            </w:r>
          </w:p>
        </w:tc>
        <w:tc>
          <w:tcPr>
            <w:tcW w:w="964" w:type="dxa"/>
            <w:vAlign w:val="center"/>
          </w:tcPr>
          <w:p>
            <w:pPr>
              <w:pStyle w:val="11"/>
            </w:pPr>
            <w:r>
              <w:t>228.00</w:t>
            </w:r>
          </w:p>
        </w:tc>
        <w:tc>
          <w:tcPr>
            <w:tcW w:w="1134" w:type="dxa"/>
            <w:vAlign w:val="center"/>
          </w:tcPr>
          <w:p>
            <w:pPr>
              <w:pStyle w:val="12"/>
            </w:pPr>
            <w:r>
              <w:t>其他信息技术服务</w:t>
            </w:r>
          </w:p>
        </w:tc>
        <w:tc>
          <w:tcPr>
            <w:tcW w:w="1134" w:type="dxa"/>
            <w:vAlign w:val="center"/>
          </w:tcPr>
          <w:p>
            <w:pPr>
              <w:pStyle w:val="12"/>
            </w:pPr>
            <w:r>
              <w:t>C0299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57.77</w:t>
            </w:r>
          </w:p>
        </w:tc>
        <w:tc>
          <w:tcPr>
            <w:tcW w:w="964" w:type="dxa"/>
            <w:vAlign w:val="center"/>
          </w:tcPr>
          <w:p>
            <w:pPr>
              <w:pStyle w:val="11"/>
            </w:pPr>
            <w:r>
              <w:t>57.77</w:t>
            </w:r>
          </w:p>
        </w:tc>
        <w:tc>
          <w:tcPr>
            <w:tcW w:w="964" w:type="dxa"/>
            <w:vAlign w:val="center"/>
          </w:tcPr>
          <w:p>
            <w:pPr>
              <w:pStyle w:val="11"/>
            </w:pPr>
            <w:r>
              <w:t>57.77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57.77</w:t>
            </w:r>
          </w:p>
        </w:tc>
      </w:tr>
      <w:tr>
        <w:tblPrEx>
          <w:tblCellMar>
            <w:top w:w="0" w:type="dxa"/>
            <w:left w:w="108" w:type="dxa"/>
            <w:bottom w:w="0" w:type="dxa"/>
            <w:right w:w="108" w:type="dxa"/>
          </w:tblCellMar>
        </w:tblPrEx>
        <w:trPr>
          <w:cantSplit/>
          <w:jc w:val="center"/>
        </w:trPr>
        <w:tc>
          <w:tcPr>
            <w:tcW w:w="1701" w:type="dxa"/>
            <w:vAlign w:val="center"/>
          </w:tcPr>
          <w:p>
            <w:pPr>
              <w:pStyle w:val="14"/>
            </w:pPr>
            <w:r>
              <w:t>河北省电子数据审计中心小计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11.51</w:t>
            </w:r>
          </w:p>
        </w:tc>
        <w:tc>
          <w:tcPr>
            <w:tcW w:w="964" w:type="dxa"/>
            <w:vAlign w:val="center"/>
          </w:tcPr>
          <w:p>
            <w:pPr>
              <w:pStyle w:val="15"/>
            </w:pPr>
            <w:r>
              <w:t>11.51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79.84</w:t>
            </w:r>
          </w:p>
        </w:tc>
        <w:tc>
          <w:tcPr>
            <w:tcW w:w="1134" w:type="dxa"/>
            <w:vAlign w:val="center"/>
          </w:tcPr>
          <w:p>
            <w:pPr>
              <w:pStyle w:val="12"/>
            </w:pPr>
            <w:r>
              <w:t>普通电视设备（电视机）</w:t>
            </w:r>
          </w:p>
        </w:tc>
        <w:tc>
          <w:tcPr>
            <w:tcW w:w="1134" w:type="dxa"/>
            <w:vAlign w:val="center"/>
          </w:tcPr>
          <w:p>
            <w:pPr>
              <w:pStyle w:val="12"/>
            </w:pPr>
            <w:r>
              <w:t>A02091001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79.84</w:t>
            </w:r>
          </w:p>
        </w:tc>
        <w:tc>
          <w:tcPr>
            <w:tcW w:w="1134" w:type="dxa"/>
            <w:vAlign w:val="center"/>
          </w:tcPr>
          <w:p>
            <w:pPr>
              <w:pStyle w:val="12"/>
            </w:pPr>
            <w:r>
              <w:t>木制台、桌类</w:t>
            </w:r>
          </w:p>
        </w:tc>
        <w:tc>
          <w:tcPr>
            <w:tcW w:w="1134" w:type="dxa"/>
            <w:vAlign w:val="center"/>
          </w:tcPr>
          <w:p>
            <w:pPr>
              <w:pStyle w:val="12"/>
            </w:pPr>
            <w:r>
              <w:t>A060205</w:t>
            </w:r>
          </w:p>
        </w:tc>
        <w:tc>
          <w:tcPr>
            <w:tcW w:w="709" w:type="dxa"/>
            <w:vAlign w:val="center"/>
          </w:tcPr>
          <w:p>
            <w:pPr>
              <w:pStyle w:val="13"/>
            </w:pPr>
            <w:r>
              <w:t>张</w:t>
            </w:r>
          </w:p>
        </w:tc>
        <w:tc>
          <w:tcPr>
            <w:tcW w:w="850" w:type="dxa"/>
            <w:vAlign w:val="center"/>
          </w:tcPr>
          <w:p>
            <w:pPr>
              <w:pStyle w:val="11"/>
            </w:pPr>
            <w:r>
              <w:t>1</w:t>
            </w:r>
          </w:p>
        </w:tc>
        <w:tc>
          <w:tcPr>
            <w:tcW w:w="850" w:type="dxa"/>
            <w:vAlign w:val="center"/>
          </w:tcPr>
          <w:p>
            <w:pPr>
              <w:pStyle w:val="11"/>
            </w:pPr>
            <w:r>
              <w:t>0.28</w:t>
            </w:r>
          </w:p>
        </w:tc>
        <w:tc>
          <w:tcPr>
            <w:tcW w:w="964" w:type="dxa"/>
            <w:vAlign w:val="center"/>
          </w:tcPr>
          <w:p>
            <w:pPr>
              <w:pStyle w:val="11"/>
            </w:pPr>
            <w:r>
              <w:t>0.28</w:t>
            </w:r>
          </w:p>
        </w:tc>
        <w:tc>
          <w:tcPr>
            <w:tcW w:w="964" w:type="dxa"/>
            <w:vAlign w:val="center"/>
          </w:tcPr>
          <w:p>
            <w:pPr>
              <w:pStyle w:val="11"/>
            </w:pPr>
            <w:r>
              <w:t>0.28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0.28</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79.84</w:t>
            </w:r>
          </w:p>
        </w:tc>
        <w:tc>
          <w:tcPr>
            <w:tcW w:w="1134" w:type="dxa"/>
            <w:vAlign w:val="center"/>
          </w:tcPr>
          <w:p>
            <w:pPr>
              <w:pStyle w:val="12"/>
            </w:pPr>
            <w:r>
              <w:t>木骨架为主的椅凳类</w:t>
            </w:r>
          </w:p>
        </w:tc>
        <w:tc>
          <w:tcPr>
            <w:tcW w:w="1134" w:type="dxa"/>
            <w:vAlign w:val="center"/>
          </w:tcPr>
          <w:p>
            <w:pPr>
              <w:pStyle w:val="12"/>
            </w:pPr>
            <w:r>
              <w:t>A060302</w:t>
            </w:r>
          </w:p>
        </w:tc>
        <w:tc>
          <w:tcPr>
            <w:tcW w:w="709" w:type="dxa"/>
            <w:vAlign w:val="center"/>
          </w:tcPr>
          <w:p>
            <w:pPr>
              <w:pStyle w:val="13"/>
            </w:pPr>
            <w:r>
              <w:t>把</w:t>
            </w:r>
          </w:p>
        </w:tc>
        <w:tc>
          <w:tcPr>
            <w:tcW w:w="850" w:type="dxa"/>
            <w:vAlign w:val="center"/>
          </w:tcPr>
          <w:p>
            <w:pPr>
              <w:pStyle w:val="11"/>
            </w:pPr>
            <w:r>
              <w:t>10</w:t>
            </w:r>
          </w:p>
        </w:tc>
        <w:tc>
          <w:tcPr>
            <w:tcW w:w="850" w:type="dxa"/>
            <w:vAlign w:val="center"/>
          </w:tcPr>
          <w:p>
            <w:pPr>
              <w:pStyle w:val="11"/>
            </w:pPr>
            <w:r>
              <w:t>0.03</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79.84</w:t>
            </w:r>
          </w:p>
        </w:tc>
        <w:tc>
          <w:tcPr>
            <w:tcW w:w="1134" w:type="dxa"/>
            <w:vAlign w:val="center"/>
          </w:tcPr>
          <w:p>
            <w:pPr>
              <w:pStyle w:val="12"/>
            </w:pPr>
            <w:r>
              <w:t>其他柜类</w:t>
            </w:r>
          </w:p>
        </w:tc>
        <w:tc>
          <w:tcPr>
            <w:tcW w:w="1134" w:type="dxa"/>
            <w:vAlign w:val="center"/>
          </w:tcPr>
          <w:p>
            <w:pPr>
              <w:pStyle w:val="12"/>
            </w:pPr>
            <w:r>
              <w:t>A060599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0.13</w:t>
            </w:r>
          </w:p>
        </w:tc>
        <w:tc>
          <w:tcPr>
            <w:tcW w:w="964" w:type="dxa"/>
            <w:vAlign w:val="center"/>
          </w:tcPr>
          <w:p>
            <w:pPr>
              <w:pStyle w:val="11"/>
            </w:pPr>
            <w:r>
              <w:t>0.13</w:t>
            </w:r>
          </w:p>
        </w:tc>
        <w:tc>
          <w:tcPr>
            <w:tcW w:w="964" w:type="dxa"/>
            <w:vAlign w:val="center"/>
          </w:tcPr>
          <w:p>
            <w:pPr>
              <w:pStyle w:val="11"/>
            </w:pPr>
            <w:r>
              <w:t>0.13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79.84</w:t>
            </w:r>
          </w:p>
        </w:tc>
        <w:tc>
          <w:tcPr>
            <w:tcW w:w="1134" w:type="dxa"/>
            <w:vAlign w:val="center"/>
          </w:tcPr>
          <w:p>
            <w:pPr>
              <w:pStyle w:val="12"/>
            </w:pPr>
            <w:r>
              <w:t>复印纸</w:t>
            </w:r>
          </w:p>
        </w:tc>
        <w:tc>
          <w:tcPr>
            <w:tcW w:w="1134" w:type="dxa"/>
            <w:vAlign w:val="center"/>
          </w:tcPr>
          <w:p>
            <w:pPr>
              <w:pStyle w:val="12"/>
            </w:pPr>
            <w:r>
              <w:t>A090101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79.84</w:t>
            </w:r>
          </w:p>
        </w:tc>
        <w:tc>
          <w:tcPr>
            <w:tcW w:w="1134" w:type="dxa"/>
            <w:vAlign w:val="center"/>
          </w:tcPr>
          <w:p>
            <w:pPr>
              <w:pStyle w:val="12"/>
            </w:pPr>
            <w:r>
              <w:t>物业管理服务</w:t>
            </w:r>
          </w:p>
        </w:tc>
        <w:tc>
          <w:tcPr>
            <w:tcW w:w="1134" w:type="dxa"/>
            <w:vAlign w:val="center"/>
          </w:tcPr>
          <w:p>
            <w:pPr>
              <w:pStyle w:val="12"/>
            </w:pPr>
            <w:r>
              <w:t>C1204</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9.00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河北省财政审计中心小计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14.12</w:t>
            </w:r>
          </w:p>
        </w:tc>
        <w:tc>
          <w:tcPr>
            <w:tcW w:w="964" w:type="dxa"/>
            <w:vAlign w:val="center"/>
          </w:tcPr>
          <w:p>
            <w:pPr>
              <w:pStyle w:val="15"/>
            </w:pPr>
            <w:r>
              <w:t>14.12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133.07</w:t>
            </w:r>
          </w:p>
        </w:tc>
        <w:tc>
          <w:tcPr>
            <w:tcW w:w="1134" w:type="dxa"/>
            <w:vAlign w:val="center"/>
          </w:tcPr>
          <w:p>
            <w:pPr>
              <w:pStyle w:val="12"/>
            </w:pPr>
            <w:r>
              <w:t>复印纸</w:t>
            </w:r>
          </w:p>
        </w:tc>
        <w:tc>
          <w:tcPr>
            <w:tcW w:w="1134" w:type="dxa"/>
            <w:vAlign w:val="center"/>
          </w:tcPr>
          <w:p>
            <w:pPr>
              <w:pStyle w:val="12"/>
            </w:pPr>
            <w:r>
              <w:t>A090101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133.07</w:t>
            </w:r>
          </w:p>
        </w:tc>
        <w:tc>
          <w:tcPr>
            <w:tcW w:w="1134" w:type="dxa"/>
            <w:vAlign w:val="center"/>
          </w:tcPr>
          <w:p>
            <w:pPr>
              <w:pStyle w:val="12"/>
            </w:pPr>
            <w:r>
              <w:t>其他车辆维修和保养服务</w:t>
            </w:r>
          </w:p>
        </w:tc>
        <w:tc>
          <w:tcPr>
            <w:tcW w:w="1134" w:type="dxa"/>
            <w:vAlign w:val="center"/>
          </w:tcPr>
          <w:p>
            <w:pPr>
              <w:pStyle w:val="12"/>
            </w:pPr>
            <w:r>
              <w:t>C050399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3.82</w:t>
            </w:r>
          </w:p>
        </w:tc>
        <w:tc>
          <w:tcPr>
            <w:tcW w:w="964" w:type="dxa"/>
            <w:vAlign w:val="center"/>
          </w:tcPr>
          <w:p>
            <w:pPr>
              <w:pStyle w:val="11"/>
            </w:pPr>
            <w:r>
              <w:t>3.82</w:t>
            </w:r>
          </w:p>
        </w:tc>
        <w:tc>
          <w:tcPr>
            <w:tcW w:w="964" w:type="dxa"/>
            <w:vAlign w:val="center"/>
          </w:tcPr>
          <w:p>
            <w:pPr>
              <w:pStyle w:val="11"/>
            </w:pPr>
            <w:r>
              <w:t>3.82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133.07</w:t>
            </w:r>
          </w:p>
        </w:tc>
        <w:tc>
          <w:tcPr>
            <w:tcW w:w="1134" w:type="dxa"/>
            <w:vAlign w:val="center"/>
          </w:tcPr>
          <w:p>
            <w:pPr>
              <w:pStyle w:val="12"/>
            </w:pPr>
            <w:r>
              <w:t>物业管理服务</w:t>
            </w:r>
          </w:p>
        </w:tc>
        <w:tc>
          <w:tcPr>
            <w:tcW w:w="1134" w:type="dxa"/>
            <w:vAlign w:val="center"/>
          </w:tcPr>
          <w:p>
            <w:pPr>
              <w:pStyle w:val="12"/>
            </w:pPr>
            <w:r>
              <w:t>C1204</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9.00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CellMar>
            <w:top w:w="0" w:type="dxa"/>
            <w:left w:w="108" w:type="dxa"/>
            <w:bottom w:w="0"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133.07</w:t>
            </w:r>
          </w:p>
        </w:tc>
        <w:tc>
          <w:tcPr>
            <w:tcW w:w="1134" w:type="dxa"/>
            <w:vAlign w:val="center"/>
          </w:tcPr>
          <w:p>
            <w:pPr>
              <w:pStyle w:val="12"/>
            </w:pPr>
            <w:r>
              <w:t>机动车保险服务</w:t>
            </w:r>
          </w:p>
        </w:tc>
        <w:tc>
          <w:tcPr>
            <w:tcW w:w="1134" w:type="dxa"/>
            <w:vAlign w:val="center"/>
          </w:tcPr>
          <w:p>
            <w:pPr>
              <w:pStyle w:val="12"/>
            </w:pPr>
            <w:r>
              <w:t>C15040201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河北省审计厅（含所属单位）上年末固定资产金额为11065.28万元（详见下表）。本年度拟购置固定资产总额为20.37万元，已按要求列入政府采购预算，详见政府采购预算表。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319河北省审计厅</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11065.28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11366.81</w:t>
            </w:r>
          </w:p>
        </w:tc>
        <w:tc>
          <w:tcPr>
            <w:tcW w:w="2835" w:type="dxa"/>
            <w:vAlign w:val="center"/>
          </w:tcPr>
          <w:p>
            <w:pPr>
              <w:pStyle w:val="11"/>
            </w:pPr>
            <w:r>
              <w:t>2070.51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10679.31</w:t>
            </w:r>
          </w:p>
        </w:tc>
        <w:tc>
          <w:tcPr>
            <w:tcW w:w="2835" w:type="dxa"/>
            <w:vAlign w:val="center"/>
          </w:tcPr>
          <w:p>
            <w:pPr>
              <w:pStyle w:val="11"/>
            </w:pPr>
            <w:r>
              <w:t>2048.52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10</w:t>
            </w:r>
          </w:p>
        </w:tc>
        <w:tc>
          <w:tcPr>
            <w:tcW w:w="2835" w:type="dxa"/>
            <w:vAlign w:val="center"/>
          </w:tcPr>
          <w:p>
            <w:pPr>
              <w:pStyle w:val="11"/>
            </w:pPr>
            <w:r>
              <w:t>246.53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87</w:t>
            </w:r>
          </w:p>
        </w:tc>
        <w:tc>
          <w:tcPr>
            <w:tcW w:w="2835" w:type="dxa"/>
            <w:vAlign w:val="center"/>
          </w:tcPr>
          <w:p>
            <w:pPr>
              <w:pStyle w:val="11"/>
            </w:pPr>
            <w:r>
              <w:t>4474.65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3889</w:t>
            </w:r>
          </w:p>
        </w:tc>
        <w:tc>
          <w:tcPr>
            <w:tcW w:w="2835" w:type="dxa"/>
            <w:vAlign w:val="center"/>
          </w:tcPr>
          <w:p>
            <w:pPr>
              <w:pStyle w:val="11"/>
            </w:pPr>
            <w:r>
              <w:t>4273.59</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3CD616-A431-474B-AA78-F64ECC124C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4A75232C-DD1F-4E2E-AADD-40AD3698B377}"/>
  </w:font>
  <w:font w:name="方正书宋_GBK">
    <w:altName w:val="微软雅黑"/>
    <w:panose1 w:val="03000509000000000000"/>
    <w:charset w:val="86"/>
    <w:family w:val="script"/>
    <w:pitch w:val="default"/>
    <w:sig w:usb0="00000000" w:usb1="00000000" w:usb2="00000010" w:usb3="00000000" w:csb0="00040000" w:csb1="00000000"/>
    <w:embedRegular r:id="rId3" w:fontKey="{FF09B7B6-F6BB-49D0-8B54-17E50FC1DEF8}"/>
  </w:font>
  <w:font w:name="方正仿宋_GBK">
    <w:panose1 w:val="02000000000000000000"/>
    <w:charset w:val="86"/>
    <w:family w:val="script"/>
    <w:pitch w:val="default"/>
    <w:sig w:usb0="A00002BF" w:usb1="38CF7CFA" w:usb2="00082016" w:usb3="00000000" w:csb0="00040001" w:csb1="00000000"/>
    <w:embedRegular r:id="rId4" w:fontKey="{6A99EFC8-5DAC-46BF-9F68-246FC8229650}"/>
  </w:font>
  <w:font w:name="方正楷体_GBK">
    <w:altName w:val="微软雅黑"/>
    <w:panose1 w:val="03000509000000000000"/>
    <w:charset w:val="86"/>
    <w:family w:val="script"/>
    <w:pitch w:val="default"/>
    <w:sig w:usb0="00000000" w:usb1="00000000" w:usb2="00000010" w:usb3="00000000" w:csb0="00040000" w:csb1="00000000"/>
    <w:embedRegular r:id="rId5" w:fontKey="{CBA942DF-51FF-4EE3-A8DD-4565E26EE48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s3075" o:spid="_x0000_s3075"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43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6" o:spid="_x0000_s3076" o:spt="202" type="#_x0000_t202" style="position:absolute;left:0pt;margin-left:7.4pt;margin-top:-3.9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jc w:val="both"/>
                </w:pPr>
                <w:r>
                  <w:fldChar w:fldCharType="begin"/>
                </w:r>
                <w:r>
                  <w:instrText xml:space="preserve"> PAGE  \* MERGEFORMAT </w:instrText>
                </w:r>
                <w:r>
                  <w:fldChar w:fldCharType="separate"/>
                </w:r>
                <w:r>
                  <w:t>42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GrammaticalErrors/>
  <w:doNotTrackMoves/>
  <w:documentProtection w:enforcement="0"/>
  <w:defaultTabStop w:val="720"/>
  <w:evenAndOddHeaders w:val="1"/>
  <w:characterSpacingControl w:val="doNotCompress"/>
  <w:hdrShapeDefaults>
    <o:shapelayout v:ext="edit">
      <o:idmap v:ext="edit" data="2,3"/>
    </o:shapelayout>
  </w:hdrShapeDefaults>
  <w:compat>
    <w:doNotLeaveBackslashAlone/>
    <w:doNotExpandShiftReturn/>
    <w:adjustLineHeightInTable/>
    <w:useFELayout/>
    <w:compatSetting w:name="compatibilityMode" w:uri="http://schemas.microsoft.com/office/word" w:val="12"/>
  </w:compat>
  <w:docVars>
    <w:docVar w:name="commondata" w:val="eyJoZGlkIjoiMDgyZTg3MTc4MDUxNDBiZDNiOGNkM2I1MjVmNmYyODUifQ=="/>
  </w:docVars>
  <w:rsids>
    <w:rsidRoot w:val="00923F87"/>
    <w:rsid w:val="000236EB"/>
    <w:rsid w:val="00052127"/>
    <w:rsid w:val="00102DCB"/>
    <w:rsid w:val="0022590A"/>
    <w:rsid w:val="00302DCE"/>
    <w:rsid w:val="00360E64"/>
    <w:rsid w:val="0052696B"/>
    <w:rsid w:val="00541DC2"/>
    <w:rsid w:val="00571E02"/>
    <w:rsid w:val="00607DFA"/>
    <w:rsid w:val="00923F87"/>
    <w:rsid w:val="0093448F"/>
    <w:rsid w:val="00972D07"/>
    <w:rsid w:val="00BF0A8B"/>
    <w:rsid w:val="00C92AC1"/>
    <w:rsid w:val="00CF1A00"/>
    <w:rsid w:val="00E412EA"/>
    <w:rsid w:val="00F530A1"/>
    <w:rsid w:val="00FF1047"/>
    <w:rsid w:val="06CC2949"/>
    <w:rsid w:val="1BB663E8"/>
    <w:rsid w:val="27AE6F7C"/>
    <w:rsid w:val="470517DE"/>
    <w:rsid w:val="4D0D7659"/>
    <w:rsid w:val="5A101C36"/>
    <w:rsid w:val="6FD7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8"/>
    <w:autoRedefine/>
    <w:semiHidden/>
    <w:unhideWhenUsed/>
    <w:qFormat/>
    <w:uiPriority w:val="99"/>
    <w:pPr>
      <w:tabs>
        <w:tab w:val="center" w:pos="4153"/>
        <w:tab w:val="right" w:pos="8306"/>
      </w:tabs>
      <w:snapToGrid w:val="0"/>
    </w:pPr>
    <w:rPr>
      <w:sz w:val="18"/>
      <w:szCs w:val="18"/>
    </w:rPr>
  </w:style>
  <w:style w:type="paragraph" w:styleId="3">
    <w:name w:val="header"/>
    <w:basedOn w:val="1"/>
    <w:link w:val="3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Normal_513934a4-6f1a-451e-a5b9-134c2782f4ac"/>
    <w:autoRedefine/>
    <w:qFormat/>
    <w:uiPriority w:val="0"/>
    <w:rPr>
      <w:rFonts w:ascii="Times New Roman" w:hAnsi="Times New Roman" w:eastAsia="Times New Roman" w:cs="Times New Roman"/>
      <w:sz w:val="24"/>
      <w:szCs w:val="24"/>
      <w:lang w:val="en-US" w:eastAsia="uk-UA" w:bidi="ar-SA"/>
    </w:rPr>
  </w:style>
  <w:style w:type="paragraph" w:customStyle="1" w:styleId="25">
    <w:name w:val="单元格样式1_d857051f-07d8-45ba-a9e6-ca35956d43dd"/>
    <w:basedOn w:val="1"/>
    <w:autoRedefine/>
    <w:qFormat/>
    <w:uiPriority w:val="0"/>
    <w:pPr>
      <w:jc w:val="center"/>
    </w:pPr>
    <w:rPr>
      <w:rFonts w:ascii="方正书宋_GBK" w:hAnsi="方正书宋_GBK" w:eastAsia="方正书宋_GBK" w:cs="方正书宋_GBK"/>
      <w:b/>
      <w:sz w:val="21"/>
    </w:rPr>
  </w:style>
  <w:style w:type="paragraph" w:customStyle="1" w:styleId="26">
    <w:name w:val="单元格样式2_fbbdce54-5f25-429d-8b6d-43ef7d09e2f6"/>
    <w:basedOn w:val="1"/>
    <w:autoRedefine/>
    <w:qFormat/>
    <w:uiPriority w:val="0"/>
    <w:rPr>
      <w:rFonts w:ascii="方正书宋_GBK" w:hAnsi="方正书宋_GBK" w:eastAsia="方正书宋_GBK" w:cs="方正书宋_GBK"/>
      <w:sz w:val="21"/>
    </w:rPr>
  </w:style>
  <w:style w:type="paragraph" w:customStyle="1" w:styleId="27">
    <w:name w:val="单元格样式3_00c37845-99bf-433e-9178-97c32349c88f"/>
    <w:basedOn w:val="1"/>
    <w:autoRedefine/>
    <w:qFormat/>
    <w:uiPriority w:val="0"/>
    <w:pPr>
      <w:jc w:val="center"/>
    </w:pPr>
    <w:rPr>
      <w:rFonts w:ascii="方正书宋_GBK" w:hAnsi="方正书宋_GBK" w:eastAsia="方正书宋_GBK" w:cs="方正书宋_GBK"/>
      <w:sz w:val="21"/>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3">
    <w:name w:val="目录 21"/>
    <w:basedOn w:val="1"/>
    <w:autoRedefine/>
    <w:qFormat/>
    <w:uiPriority w:val="0"/>
    <w:pPr>
      <w:ind w:left="240"/>
    </w:pPr>
  </w:style>
  <w:style w:type="paragraph" w:customStyle="1" w:styleId="34">
    <w:name w:val="目录 31"/>
    <w:basedOn w:val="1"/>
    <w:autoRedefine/>
    <w:qFormat/>
    <w:uiPriority w:val="0"/>
    <w:pPr>
      <w:ind w:left="480"/>
    </w:pPr>
  </w:style>
  <w:style w:type="paragraph" w:customStyle="1" w:styleId="35">
    <w:name w:val="目录 41"/>
    <w:basedOn w:val="1"/>
    <w:autoRedefine/>
    <w:qFormat/>
    <w:uiPriority w:val="0"/>
    <w:pPr>
      <w:ind w:left="720"/>
    </w:pPr>
  </w:style>
  <w:style w:type="paragraph" w:customStyle="1" w:styleId="36">
    <w:name w:val="目录 11"/>
    <w:basedOn w:val="1"/>
    <w:autoRedefine/>
    <w:qFormat/>
    <w:uiPriority w:val="0"/>
    <w:pPr>
      <w:spacing w:before="120"/>
      <w:ind w:firstLine="560"/>
    </w:pPr>
    <w:rPr>
      <w:rFonts w:eastAsia="方正仿宋_GBK"/>
      <w:color w:val="000000"/>
      <w:sz w:val="28"/>
    </w:rPr>
  </w:style>
  <w:style w:type="character" w:customStyle="1" w:styleId="37">
    <w:name w:val="页眉 Char"/>
    <w:basedOn w:val="6"/>
    <w:link w:val="3"/>
    <w:autoRedefine/>
    <w:semiHidden/>
    <w:qFormat/>
    <w:uiPriority w:val="99"/>
    <w:rPr>
      <w:rFonts w:eastAsia="Times New Roman"/>
      <w:sz w:val="18"/>
      <w:szCs w:val="18"/>
      <w:lang w:eastAsia="uk-UA"/>
    </w:rPr>
  </w:style>
  <w:style w:type="character" w:customStyle="1" w:styleId="38">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5"/>
    <customShpInfo spid="_x0000_s3076"/>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2022-01-19T09:59:25Z</dcterms:created>
  <dcterms:modified xsi:type="dcterms:W3CDTF">2022-01-19T01:59:25Z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2022-01-19T09:59:38Z</dcterms:created>
  <dcterms:modified xsi:type="dcterms:W3CDTF">2022-01-19T01:59:38Z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2022-01-19T09:59:47Z</dcterms:created>
  <dcterms:modified xsi:type="dcterms:W3CDTF">2022-01-19T01:59:47Z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2022-01-19T09:59:42Z</dcterms:created>
  <dcterms:modified xsi:type="dcterms:W3CDTF">2022-01-19T01:59:42Z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2022-01-19T09:59:22Z</dcterms:created>
  <dcterms:modified xsi:type="dcterms:W3CDTF">2022-01-19T01:59:22Z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2022-01-19T09:59:32Z</dcterms:created>
  <dcterms:modified xsi:type="dcterms:W3CDTF">2022-01-19T01:59:32Z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2022-01-19T09:59:36Z</dcterms:created>
  <dcterms:modified xsi:type="dcterms:W3CDTF">2022-01-19T01:59:36Z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2022-01-19T09:59:45Z</dcterms:created>
  <dcterms:modified xsi:type="dcterms:W3CDTF">2022-01-19T01:59:45Z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2022-01-19T09:59:29Z</dcterms:created>
  <dcterms:modified xsi:type="dcterms:W3CDTF">2022-01-19T01:59:29Z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2022-01-19T09:59:41Z</dcterms:created>
  <dcterms:modified xsi:type="dcterms:W3CDTF">2022-01-19T01:59:41Z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2022-01-19T09:59:17Z</dcterms:created>
  <dcterms:modified xsi:type="dcterms:W3CDTF">2022-01-19T01:59:17Z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2022-01-19T09:59:33Z</dcterms:created>
  <dcterms:modified xsi:type="dcterms:W3CDTF">2022-01-19T01:59:33Z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795552E-E805-4BD3-B24A-BB450B060BAB}">
  <ds:schemaRefs/>
</ds:datastoreItem>
</file>

<file path=customXml/itemProps11.xml><?xml version="1.0" encoding="utf-8"?>
<ds:datastoreItem xmlns:ds="http://schemas.openxmlformats.org/officeDocument/2006/customXml" ds:itemID="{CD480295-7758-463F-955E-8E7DE0A87CD0}">
  <ds:schemaRefs/>
</ds:datastoreItem>
</file>

<file path=customXml/itemProps12.xml><?xml version="1.0" encoding="utf-8"?>
<ds:datastoreItem xmlns:ds="http://schemas.openxmlformats.org/officeDocument/2006/customXml" ds:itemID="{4954A9F8-63B6-482C-A1AB-D44650D1221A}">
  <ds:schemaRefs/>
</ds:datastoreItem>
</file>

<file path=customXml/itemProps13.xml><?xml version="1.0" encoding="utf-8"?>
<ds:datastoreItem xmlns:ds="http://schemas.openxmlformats.org/officeDocument/2006/customXml" ds:itemID="{BD2E6B57-F2AD-4F1F-8EF3-AC835DD86692}">
  <ds:schemaRefs/>
</ds:datastoreItem>
</file>

<file path=customXml/itemProps14.xml><?xml version="1.0" encoding="utf-8"?>
<ds:datastoreItem xmlns:ds="http://schemas.openxmlformats.org/officeDocument/2006/customXml" ds:itemID="{3F512E9C-41A2-4B71-895B-DAD676E8F624}">
  <ds:schemaRefs/>
</ds:datastoreItem>
</file>

<file path=customXml/itemProps15.xml><?xml version="1.0" encoding="utf-8"?>
<ds:datastoreItem xmlns:ds="http://schemas.openxmlformats.org/officeDocument/2006/customXml" ds:itemID="{A4E69A4A-106F-41C8-AEE8-356F94D93A66}">
  <ds:schemaRefs/>
</ds:datastoreItem>
</file>

<file path=customXml/itemProps16.xml><?xml version="1.0" encoding="utf-8"?>
<ds:datastoreItem xmlns:ds="http://schemas.openxmlformats.org/officeDocument/2006/customXml" ds:itemID="{A85A69D2-CB13-4F88-91B0-ECB2DCA4E230}">
  <ds:schemaRefs/>
</ds:datastoreItem>
</file>

<file path=customXml/itemProps17.xml><?xml version="1.0" encoding="utf-8"?>
<ds:datastoreItem xmlns:ds="http://schemas.openxmlformats.org/officeDocument/2006/customXml" ds:itemID="{904AC0ED-AE76-49BB-B19B-CB9901209BCB}">
  <ds:schemaRefs/>
</ds:datastoreItem>
</file>

<file path=customXml/itemProps18.xml><?xml version="1.0" encoding="utf-8"?>
<ds:datastoreItem xmlns:ds="http://schemas.openxmlformats.org/officeDocument/2006/customXml" ds:itemID="{5F225A4A-7097-40DA-8550-495AB88D2E47}">
  <ds:schemaRefs/>
</ds:datastoreItem>
</file>

<file path=customXml/itemProps19.xml><?xml version="1.0" encoding="utf-8"?>
<ds:datastoreItem xmlns:ds="http://schemas.openxmlformats.org/officeDocument/2006/customXml" ds:itemID="{E3278F85-3060-4C13-8C05-95ED74E41476}">
  <ds:schemaRefs/>
</ds:datastoreItem>
</file>

<file path=customXml/itemProps2.xml><?xml version="1.0" encoding="utf-8"?>
<ds:datastoreItem xmlns:ds="http://schemas.openxmlformats.org/officeDocument/2006/customXml" ds:itemID="{21ECEC30-C3A5-4C5C-B1F7-15473C8E4E29}">
  <ds:schemaRefs/>
</ds:datastoreItem>
</file>

<file path=customXml/itemProps20.xml><?xml version="1.0" encoding="utf-8"?>
<ds:datastoreItem xmlns:ds="http://schemas.openxmlformats.org/officeDocument/2006/customXml" ds:itemID="{336C1160-C50A-48B1-AF9B-D3FE42AEBCF7}">
  <ds:schemaRefs/>
</ds:datastoreItem>
</file>

<file path=customXml/itemProps21.xml><?xml version="1.0" encoding="utf-8"?>
<ds:datastoreItem xmlns:ds="http://schemas.openxmlformats.org/officeDocument/2006/customXml" ds:itemID="{BB9644CA-4EB2-49D5-8F5D-34D273EBA30E}">
  <ds:schemaRefs/>
</ds:datastoreItem>
</file>

<file path=customXml/itemProps22.xml><?xml version="1.0" encoding="utf-8"?>
<ds:datastoreItem xmlns:ds="http://schemas.openxmlformats.org/officeDocument/2006/customXml" ds:itemID="{3F87ECF4-F223-43EB-8C76-AD6673C3D768}">
  <ds:schemaRefs/>
</ds:datastoreItem>
</file>

<file path=customXml/itemProps23.xml><?xml version="1.0" encoding="utf-8"?>
<ds:datastoreItem xmlns:ds="http://schemas.openxmlformats.org/officeDocument/2006/customXml" ds:itemID="{693FCCD9-3AE6-44D5-8EDE-70C611BAD78C}">
  <ds:schemaRefs/>
</ds:datastoreItem>
</file>

<file path=customXml/itemProps24.xml><?xml version="1.0" encoding="utf-8"?>
<ds:datastoreItem xmlns:ds="http://schemas.openxmlformats.org/officeDocument/2006/customXml" ds:itemID="{F390345F-C694-42B2-8064-01812798D625}">
  <ds:schemaRefs/>
</ds:datastoreItem>
</file>

<file path=customXml/itemProps25.xml><?xml version="1.0" encoding="utf-8"?>
<ds:datastoreItem xmlns:ds="http://schemas.openxmlformats.org/officeDocument/2006/customXml" ds:itemID="{B9539019-3006-49BC-90F4-3F915B3DF91C}">
  <ds:schemaRefs/>
</ds:datastoreItem>
</file>

<file path=customXml/itemProps3.xml><?xml version="1.0" encoding="utf-8"?>
<ds:datastoreItem xmlns:ds="http://schemas.openxmlformats.org/officeDocument/2006/customXml" ds:itemID="{46E3E1CC-9D5E-4655-8E33-8121232A6159}">
  <ds:schemaRefs/>
</ds:datastoreItem>
</file>

<file path=customXml/itemProps4.xml><?xml version="1.0" encoding="utf-8"?>
<ds:datastoreItem xmlns:ds="http://schemas.openxmlformats.org/officeDocument/2006/customXml" ds:itemID="{FDF299D7-878E-4A8D-9BB4-6E2564CA6780}">
  <ds:schemaRefs/>
</ds:datastoreItem>
</file>

<file path=customXml/itemProps5.xml><?xml version="1.0" encoding="utf-8"?>
<ds:datastoreItem xmlns:ds="http://schemas.openxmlformats.org/officeDocument/2006/customXml" ds:itemID="{F71698C1-F4AF-4091-B864-42F3EE3DAA4D}">
  <ds:schemaRefs/>
</ds:datastoreItem>
</file>

<file path=customXml/itemProps6.xml><?xml version="1.0" encoding="utf-8"?>
<ds:datastoreItem xmlns:ds="http://schemas.openxmlformats.org/officeDocument/2006/customXml" ds:itemID="{49744D8D-8AEA-49D6-BAEC-07745A84055D}">
  <ds:schemaRefs/>
</ds:datastoreItem>
</file>

<file path=customXml/itemProps7.xml><?xml version="1.0" encoding="utf-8"?>
<ds:datastoreItem xmlns:ds="http://schemas.openxmlformats.org/officeDocument/2006/customXml" ds:itemID="{17D8B61A-8C94-40AD-A85D-8DB2FEA8769E}">
  <ds:schemaRefs/>
</ds:datastoreItem>
</file>

<file path=customXml/itemProps8.xml><?xml version="1.0" encoding="utf-8"?>
<ds:datastoreItem xmlns:ds="http://schemas.openxmlformats.org/officeDocument/2006/customXml" ds:itemID="{AE148185-BAB3-46EE-BA5F-7A1AD8C5811C}">
  <ds:schemaRefs/>
</ds:datastoreItem>
</file>

<file path=customXml/itemProps9.xml><?xml version="1.0" encoding="utf-8"?>
<ds:datastoreItem xmlns:ds="http://schemas.openxmlformats.org/officeDocument/2006/customXml" ds:itemID="{B13D01E8-62E5-4462-845A-96F387832AA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3792</Words>
  <Characters>21621</Characters>
  <Lines>180</Lines>
  <Paragraphs>50</Paragraphs>
  <TotalTime>5</TotalTime>
  <ScaleCrop>false</ScaleCrop>
  <LinksUpToDate>false</LinksUpToDate>
  <CharactersWithSpaces>25363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2022-01-19T02:06:00Z</dcterms:created>
  <dc:creator>LSJ</dc:creator>
  <cp:lastModifiedBy>buddha</cp:lastModifiedBy>
  <cp:lastPrinted>2022-01-19T07:20:00Z</cp:lastPrinted>
  <dcterms:modified xsi:type="dcterms:W3CDTF">2024-01-18T07:49:13Z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5F63858DFF1C4227A3FE7F107613D384_12</vt:lpwstr>
  </property>
</Properties>
</file>